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南乐县审计局2022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年度行政执法统计年报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南乐县审计局2022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度</w:t>
      </w:r>
      <w:r>
        <w:rPr>
          <w:rFonts w:hint="eastAsia" w:ascii="黑体" w:hAnsi="黑体" w:eastAsia="黑体" w:cs="黑体"/>
          <w:sz w:val="32"/>
          <w:szCs w:val="32"/>
        </w:rPr>
        <w:t>行政执法数据表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南乐县审计局2022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度</w:t>
      </w:r>
      <w:r>
        <w:rPr>
          <w:rFonts w:hint="eastAsia" w:ascii="黑体" w:hAnsi="黑体" w:eastAsia="黑体" w:cs="黑体"/>
          <w:sz w:val="32"/>
          <w:szCs w:val="32"/>
        </w:rPr>
        <w:t>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南乐县审计局2022年度</w:t>
      </w:r>
      <w:r>
        <w:rPr>
          <w:rFonts w:hint="eastAsia" w:ascii="黑体" w:hAnsi="黑体" w:eastAsia="黑体" w:cs="黑体"/>
          <w:sz w:val="32"/>
          <w:szCs w:val="32"/>
        </w:rPr>
        <w:t>行政执法数据表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南乐县审计局2022年度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839"/>
        <w:gridCol w:w="1000"/>
        <w:gridCol w:w="696"/>
        <w:gridCol w:w="839"/>
        <w:gridCol w:w="847"/>
        <w:gridCol w:w="839"/>
        <w:gridCol w:w="839"/>
        <w:gridCol w:w="936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22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警告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罚款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69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暂扣许可证、执照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吊销许可证、执照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行政拘 留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罚没金额（万元）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94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17.74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，行政处罚类别从轻到重的顺序：（1）警告，（2)罚款，（3）没收违法所得、没收非法财物，(4)暂扣许可证、执照，（5)责令停产停业，(6)吊销许可证、执照，（7)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4.“罚没金额”以处罚决定书确定的金额为准。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南乐县审计局2022年度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行政许可实施情况统计表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2.“受理数量”、“许可数量”、“不予许可数量”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“撤销许可数量”的统计范围为统计年度1月1日至12月31日期间许可机关作出受理决定、许可决定、不予许可决定和撤销许可决定的数量。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南乐县审计局2022年度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86"/>
        <w:gridCol w:w="708"/>
        <w:gridCol w:w="687"/>
        <w:gridCol w:w="687"/>
        <w:gridCol w:w="709"/>
        <w:gridCol w:w="913"/>
        <w:gridCol w:w="696"/>
        <w:gridCol w:w="687"/>
        <w:gridCol w:w="687"/>
        <w:gridCol w:w="688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789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067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6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8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68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4379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6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其他强制执行</w:t>
            </w:r>
          </w:p>
        </w:tc>
        <w:tc>
          <w:tcPr>
            <w:tcW w:w="68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1.“行政强制措施实施数量”的统计范围为统计年度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月1日至12月31日期间作出“查封场所、设施或者财物”、“扣押财务”、“冻结存款、汇款”或者“其他行政强制措施”决定的数量。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强制执行实施数量”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3.“申请法院强制执行”数量的统计范围为统计年度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月1日至12月31日期间向法院申请强制执行的数量，时间以申请日期为准。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南乐县审计局2022年度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其他行政执法行为实施情况统计表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74"/>
        <w:gridCol w:w="774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行政检查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行政确认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征收总金额（万元）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1.“行政征收次数”的统计范围为统计年度1月1日至12月31日期间征收完毕的数量。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4.“行政给付次数”的统计范围为统计年度1月1日至12月31日期间给付完毕的数量。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5.“其他行政执法行为”的统计范围为统计年度1月1日至12月31日期间完成的宗数。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南乐县审计局2022</w:t>
      </w:r>
      <w:r>
        <w:rPr>
          <w:rFonts w:hint="eastAsia" w:ascii="黑体" w:hAnsi="黑体" w:eastAsia="黑体" w:cs="黑体"/>
          <w:sz w:val="32"/>
          <w:szCs w:val="32"/>
        </w:rPr>
        <w:t>年度行政执法情况说明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宗，罚没收入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177400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宗，判决撒销、部分撒销、变更、确认违法或者确认无效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年度行政许可申请总数为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宗，予以许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X年度行政许可(含不予受理、予以许可和不予许可)被申请行政复议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年度行政许可（含不予受理、予以许可和不予许可)直接被提起行政诉讼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宗，占行政许可中请总数的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次，征收总金额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宗，占行政征收总数的XX%；行政复议决定撒销、变更或者确认违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年度行政裁决总数为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次，涉及总金额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次，给付总金额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%；判决履行法定职责、履行给付职责、撤销、部分撒销、变更、确认违法或者确认无效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%；行政复议决定履行法定职责、撒销、变更或者确认违法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行政确认直接被提起行政诉讼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X宗，占直接被提起行政诉讼宗数的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(注：“被申请行政复议和被提起行政诉讼”数量的统计范围为统计年度1月1日至12月31日期间作出复议决定和生效判决的数量。)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jc w:val="lef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2023年1月4日</w:t>
      </w: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6076A0"/>
    <w:multiLevelType w:val="singleLevel"/>
    <w:tmpl w:val="DF6076A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B2DCEF8"/>
    <w:multiLevelType w:val="singleLevel"/>
    <w:tmpl w:val="6B2DCE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NzQ1ODhmMDFlZWNjMWJjZDVhYTQxMWQxZjJjMTcifQ=="/>
  </w:docVars>
  <w:rsids>
    <w:rsidRoot w:val="755E46EE"/>
    <w:rsid w:val="755E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2023-03-09T08:01:00Z</dcterms:created>
  <dc:creator>上善若水</dc:creator>
  <cp:lastModifiedBy>上善若水</cp:lastModifiedBy>
  <dcterms:modified xsi:type="dcterms:W3CDTF">2023-03-09T08:01:33Z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6944CC29660341EF90D813769EB3D44B</vt:lpwstr>
  </property>
</Properties>
</file>