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24" w:lineRule="atLeast"/>
        <w:jc w:val="center"/>
        <w:rPr>
          <w:rFonts w:ascii="文星标宋" w:hAnsi="文星标宋" w:eastAsia="文星标宋" w:cs="宋体"/>
          <w:kern w:val="0"/>
          <w:sz w:val="44"/>
          <w:szCs w:val="44"/>
        </w:rPr>
      </w:pPr>
      <w:r>
        <w:rPr>
          <w:rFonts w:hint="eastAsia" w:ascii="文星标宋" w:hAnsi="文星标宋" w:eastAsia="文星标宋" w:cs="宋体"/>
          <w:kern w:val="0"/>
          <w:sz w:val="44"/>
          <w:szCs w:val="44"/>
          <w:lang w:val="en-US" w:eastAsia="zh-CN"/>
        </w:rPr>
        <w:t>南乐县应急管局</w:t>
      </w:r>
      <w:r>
        <w:rPr>
          <w:rFonts w:hint="eastAsia" w:ascii="文星标宋" w:hAnsi="文星标宋" w:eastAsia="文星标宋" w:cs="宋体"/>
          <w:kern w:val="0"/>
          <w:sz w:val="44"/>
          <w:szCs w:val="44"/>
        </w:rPr>
        <w:t>部门</w:t>
      </w:r>
      <w:r>
        <w:rPr>
          <w:rFonts w:hint="eastAsia" w:ascii="文星标宋" w:hAnsi="文星标宋" w:eastAsia="文星标宋" w:cs="宋体"/>
          <w:kern w:val="0"/>
          <w:sz w:val="44"/>
          <w:szCs w:val="44"/>
          <w:lang w:val="en-US" w:eastAsia="zh-CN"/>
        </w:rPr>
        <w:t>2022</w:t>
      </w:r>
      <w:r>
        <w:rPr>
          <w:rFonts w:hint="eastAsia" w:ascii="文星标宋" w:hAnsi="文星标宋" w:eastAsia="文星标宋" w:cs="宋体"/>
          <w:kern w:val="0"/>
          <w:sz w:val="44"/>
          <w:szCs w:val="44"/>
        </w:rPr>
        <w:t>年度行政执法统计年报</w:t>
      </w:r>
    </w:p>
    <w:p>
      <w:pPr>
        <w:widowControl/>
        <w:spacing w:line="224" w:lineRule="atLeast"/>
        <w:jc w:val="left"/>
        <w:rPr>
          <w:rFonts w:ascii="微软雅黑" w:hAnsi="微软雅黑" w:eastAsia="微软雅黑" w:cs="宋体"/>
          <w:kern w:val="0"/>
          <w:sz w:val="44"/>
          <w:szCs w:val="44"/>
        </w:rPr>
      </w:pPr>
      <w:r>
        <w:rPr>
          <w:rFonts w:hint="eastAsia" w:ascii="方正小标宋简体" w:hAnsi="微软雅黑" w:eastAsia="方正小标宋简体" w:cs="宋体"/>
          <w:kern w:val="0"/>
          <w:sz w:val="44"/>
          <w:szCs w:val="44"/>
        </w:rPr>
        <w:t> </w:t>
      </w:r>
      <w:r>
        <w:rPr>
          <w:rFonts w:hint="eastAsia" w:ascii="微软雅黑" w:hAnsi="微软雅黑" w:eastAsia="微软雅黑" w:cs="宋体"/>
          <w:kern w:val="0"/>
          <w:sz w:val="44"/>
          <w:szCs w:val="44"/>
        </w:rPr>
        <w:t xml:space="preserve">               </w:t>
      </w:r>
      <w:r>
        <w:rPr>
          <w:rFonts w:hint="eastAsia" w:ascii="仿宋" w:hAnsi="仿宋" w:eastAsia="仿宋" w:cs="宋体"/>
          <w:b/>
          <w:kern w:val="0"/>
          <w:sz w:val="32"/>
          <w:szCs w:val="32"/>
        </w:rPr>
        <w:t>目</w:t>
      </w:r>
      <w:r>
        <w:rPr>
          <w:rFonts w:hint="eastAsia" w:ascii="仿宋" w:hAnsi="微软雅黑" w:eastAsia="仿宋" w:cs="宋体"/>
          <w:b/>
          <w:kern w:val="0"/>
          <w:sz w:val="32"/>
          <w:szCs w:val="32"/>
        </w:rPr>
        <w:t>   </w:t>
      </w:r>
      <w:r>
        <w:rPr>
          <w:rFonts w:hint="eastAsia" w:ascii="仿宋" w:hAnsi="仿宋" w:eastAsia="仿宋" w:cs="宋体"/>
          <w:b/>
          <w:kern w:val="0"/>
          <w:sz w:val="32"/>
          <w:szCs w:val="32"/>
        </w:rPr>
        <w:t>录</w:t>
      </w:r>
    </w:p>
    <w:p>
      <w:pPr>
        <w:widowControl/>
        <w:spacing w:line="224" w:lineRule="atLeast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微软雅黑" w:eastAsia="仿宋" w:cs="宋体"/>
          <w:b/>
          <w:kern w:val="0"/>
          <w:sz w:val="32"/>
          <w:szCs w:val="32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</w:t>
      </w:r>
      <w:r>
        <w:rPr>
          <w:rFonts w:hint="eastAsia" w:ascii="黑体" w:hAnsi="黑体" w:eastAsia="黑体" w:cs="宋体"/>
          <w:kern w:val="0"/>
          <w:sz w:val="32"/>
          <w:szCs w:val="32"/>
        </w:rPr>
        <w:t>第一部分</w:t>
      </w:r>
      <w:r>
        <w:rPr>
          <w:rFonts w:hint="eastAsia" w:ascii="黑体" w:hAnsi="微软雅黑" w:eastAsia="黑体" w:cs="宋体"/>
          <w:kern w:val="0"/>
          <w:sz w:val="32"/>
          <w:szCs w:val="32"/>
        </w:rPr>
        <w:t>  </w:t>
      </w:r>
      <w:r>
        <w:rPr>
          <w:rFonts w:hint="eastAsia" w:ascii="黑体" w:hAnsi="微软雅黑" w:eastAsia="黑体" w:cs="宋体"/>
          <w:kern w:val="0"/>
          <w:sz w:val="32"/>
          <w:szCs w:val="32"/>
          <w:lang w:val="en-US" w:eastAsia="zh-CN"/>
        </w:rPr>
        <w:t>南乐县应急管局</w:t>
      </w:r>
      <w:r>
        <w:rPr>
          <w:rFonts w:hint="eastAsia" w:ascii="黑体" w:hAnsi="黑体" w:eastAsia="黑体" w:cs="宋体"/>
          <w:kern w:val="0"/>
          <w:sz w:val="32"/>
          <w:szCs w:val="32"/>
        </w:rPr>
        <w:t>部门</w:t>
      </w:r>
      <w:r>
        <w:rPr>
          <w:rFonts w:hint="eastAsia" w:ascii="黑体" w:hAnsi="黑体" w:eastAsia="黑体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黑体" w:hAnsi="黑体" w:eastAsia="黑体" w:cs="宋体"/>
          <w:kern w:val="0"/>
          <w:sz w:val="32"/>
          <w:szCs w:val="32"/>
        </w:rPr>
        <w:t>年度行政执法数据表</w:t>
      </w:r>
    </w:p>
    <w:p>
      <w:pPr>
        <w:widowControl/>
        <w:spacing w:line="224" w:lineRule="atLeast"/>
        <w:ind w:firstLine="344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一、行政处罚实施情况统计表</w:t>
      </w:r>
    </w:p>
    <w:p>
      <w:pPr>
        <w:widowControl/>
        <w:spacing w:line="224" w:lineRule="atLeast"/>
        <w:ind w:firstLine="344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二、行政许可实施情况统计表</w:t>
      </w:r>
    </w:p>
    <w:p>
      <w:pPr>
        <w:widowControl/>
        <w:spacing w:line="224" w:lineRule="atLeast"/>
        <w:ind w:firstLine="344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三、行政强制实施情况统计表</w:t>
      </w:r>
    </w:p>
    <w:p>
      <w:pPr>
        <w:widowControl/>
        <w:spacing w:line="224" w:lineRule="atLeast"/>
        <w:ind w:firstLine="344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四、其他行政执法行为实施情况统计表</w:t>
      </w:r>
    </w:p>
    <w:p>
      <w:pPr>
        <w:widowControl/>
        <w:spacing w:line="224" w:lineRule="atLeast"/>
        <w:ind w:firstLine="344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第二部分</w:t>
      </w:r>
      <w:r>
        <w:rPr>
          <w:rFonts w:hint="eastAsia" w:ascii="黑体" w:hAnsi="微软雅黑" w:eastAsia="黑体" w:cs="宋体"/>
          <w:kern w:val="0"/>
          <w:sz w:val="32"/>
          <w:szCs w:val="32"/>
        </w:rPr>
        <w:t>  </w:t>
      </w:r>
      <w:r>
        <w:rPr>
          <w:rFonts w:hint="eastAsia" w:ascii="黑体" w:hAnsi="微软雅黑" w:eastAsia="黑体" w:cs="宋体"/>
          <w:kern w:val="0"/>
          <w:sz w:val="32"/>
          <w:szCs w:val="32"/>
          <w:lang w:val="en-US" w:eastAsia="zh-CN"/>
        </w:rPr>
        <w:t>南乐县应急管局</w:t>
      </w:r>
      <w:r>
        <w:rPr>
          <w:rFonts w:hint="eastAsia" w:ascii="黑体" w:hAnsi="黑体" w:eastAsia="黑体" w:cs="宋体"/>
          <w:kern w:val="0"/>
          <w:sz w:val="32"/>
          <w:szCs w:val="32"/>
        </w:rPr>
        <w:t>部门</w:t>
      </w:r>
      <w:r>
        <w:rPr>
          <w:rFonts w:hint="eastAsia" w:ascii="黑体" w:hAnsi="黑体" w:eastAsia="黑体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黑体" w:hAnsi="黑体" w:eastAsia="黑体" w:cs="宋体"/>
          <w:kern w:val="0"/>
          <w:sz w:val="32"/>
          <w:szCs w:val="32"/>
        </w:rPr>
        <w:t>年度行政执法情况说明</w:t>
      </w:r>
    </w:p>
    <w:p>
      <w:pPr>
        <w:widowControl/>
        <w:spacing w:line="224" w:lineRule="atLeast"/>
        <w:ind w:firstLine="344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一、行政处罚实施情况说明</w:t>
      </w:r>
    </w:p>
    <w:p>
      <w:pPr>
        <w:widowControl/>
        <w:spacing w:line="296" w:lineRule="atLeast"/>
        <w:ind w:firstLine="320" w:firstLineChars="1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二、行政许可实施情况说明</w:t>
      </w:r>
    </w:p>
    <w:p>
      <w:pPr>
        <w:widowControl/>
        <w:spacing w:line="296" w:lineRule="atLeast"/>
        <w:ind w:firstLine="320" w:firstLineChars="1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三、行政强制实施情况说明</w:t>
      </w:r>
    </w:p>
    <w:p>
      <w:pPr>
        <w:widowControl/>
        <w:spacing w:line="296" w:lineRule="atLeast"/>
        <w:ind w:firstLine="320" w:firstLineChars="1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四、行政征收实施情况说明</w:t>
      </w:r>
    </w:p>
    <w:p>
      <w:pPr>
        <w:widowControl/>
        <w:spacing w:line="296" w:lineRule="atLeast"/>
        <w:ind w:firstLine="320" w:firstLineChars="1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五、行政检查实施情况说明</w:t>
      </w:r>
    </w:p>
    <w:p>
      <w:pPr>
        <w:widowControl/>
        <w:spacing w:line="296" w:lineRule="atLeast"/>
        <w:ind w:firstLine="320" w:firstLineChars="1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六、行政裁决实施情况说明</w:t>
      </w:r>
    </w:p>
    <w:p>
      <w:pPr>
        <w:widowControl/>
        <w:spacing w:line="224" w:lineRule="atLeast"/>
        <w:ind w:firstLine="320" w:firstLineChars="100"/>
        <w:jc w:val="left"/>
        <w:rPr>
          <w:rFonts w:ascii="微软雅黑" w:hAnsi="微软雅黑" w:eastAsia="微软雅黑" w:cs="宋体"/>
          <w:kern w:val="0"/>
          <w:sz w:val="11"/>
          <w:szCs w:val="11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七、行政给付实施情况说明</w:t>
      </w:r>
    </w:p>
    <w:p>
      <w:pPr>
        <w:widowControl/>
        <w:spacing w:line="296" w:lineRule="atLeast"/>
        <w:ind w:firstLine="320" w:firstLineChars="1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八、行政确认实施情况说明</w:t>
      </w:r>
    </w:p>
    <w:p>
      <w:pPr>
        <w:widowControl/>
        <w:spacing w:line="296" w:lineRule="atLeast"/>
        <w:ind w:firstLine="320" w:firstLineChars="1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九、行政奖励实施情况说明</w:t>
      </w:r>
    </w:p>
    <w:p>
      <w:pPr>
        <w:widowControl/>
        <w:spacing w:line="296" w:lineRule="atLeast"/>
        <w:ind w:firstLine="320" w:firstLineChars="1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十、其他行政执法行为实施情况说明</w:t>
      </w:r>
    </w:p>
    <w:p>
      <w:pPr>
        <w:widowControl/>
        <w:spacing w:line="224" w:lineRule="atLeast"/>
        <w:jc w:val="center"/>
        <w:rPr>
          <w:rFonts w:ascii="微软雅黑" w:hAnsi="微软雅黑" w:eastAsia="微软雅黑" w:cs="宋体"/>
          <w:kern w:val="0"/>
          <w:sz w:val="11"/>
          <w:szCs w:val="11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 xml:space="preserve">第一部分 </w:t>
      </w:r>
      <w:r>
        <w:rPr>
          <w:rFonts w:hint="eastAsia" w:ascii="黑体" w:hAnsi="微软雅黑" w:eastAsia="黑体" w:cs="宋体"/>
          <w:kern w:val="0"/>
          <w:sz w:val="23"/>
          <w:szCs w:val="23"/>
        </w:rPr>
        <w:t> </w:t>
      </w:r>
      <w:r>
        <w:rPr>
          <w:rFonts w:hint="eastAsia" w:ascii="黑体" w:hAnsi="黑体" w:eastAsia="黑体" w:cs="宋体"/>
          <w:kern w:val="0"/>
          <w:sz w:val="32"/>
          <w:szCs w:val="32"/>
          <w:lang w:val="en-US" w:eastAsia="zh-CN"/>
        </w:rPr>
        <w:t>南乐县应急管局</w:t>
      </w:r>
      <w:r>
        <w:rPr>
          <w:rFonts w:hint="eastAsia" w:ascii="黑体" w:hAnsi="黑体" w:eastAsia="黑体" w:cs="宋体"/>
          <w:kern w:val="0"/>
          <w:sz w:val="32"/>
          <w:szCs w:val="32"/>
        </w:rPr>
        <w:t>部门</w:t>
      </w:r>
      <w:r>
        <w:rPr>
          <w:rFonts w:hint="eastAsia" w:ascii="黑体" w:hAnsi="黑体" w:eastAsia="黑体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黑体" w:hAnsi="黑体" w:eastAsia="黑体" w:cs="宋体"/>
          <w:kern w:val="0"/>
          <w:sz w:val="32"/>
          <w:szCs w:val="32"/>
        </w:rPr>
        <w:t>年度行政执法数据表</w:t>
      </w:r>
    </w:p>
    <w:p>
      <w:pPr>
        <w:widowControl/>
        <w:spacing w:line="224" w:lineRule="atLeast"/>
        <w:ind w:firstLine="344"/>
        <w:jc w:val="left"/>
        <w:rPr>
          <w:rFonts w:ascii="微软雅黑" w:hAnsi="微软雅黑" w:eastAsia="微软雅黑" w:cs="宋体"/>
          <w:kern w:val="0"/>
          <w:sz w:val="11"/>
          <w:szCs w:val="11"/>
        </w:rPr>
      </w:pPr>
      <w:r>
        <w:rPr>
          <w:rFonts w:hint="eastAsia" w:ascii="仿宋_GB2312" w:hAnsi="微软雅黑" w:eastAsia="仿宋_GB2312" w:cs="宋体"/>
          <w:kern w:val="0"/>
          <w:sz w:val="17"/>
          <w:szCs w:val="17"/>
        </w:rPr>
        <w:t> </w:t>
      </w:r>
    </w:p>
    <w:p>
      <w:pPr>
        <w:widowControl/>
        <w:spacing w:line="224" w:lineRule="atLeast"/>
        <w:ind w:firstLine="960" w:firstLineChars="300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一、行政处罚实施情况统计表</w:t>
      </w:r>
    </w:p>
    <w:p>
      <w:pPr>
        <w:widowControl/>
        <w:spacing w:line="224" w:lineRule="atLeast"/>
        <w:jc w:val="center"/>
        <w:rPr>
          <w:rFonts w:ascii="仿宋" w:hAnsi="仿宋" w:eastAsia="仿宋" w:cs="宋体"/>
          <w:b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kern w:val="0"/>
          <w:sz w:val="32"/>
          <w:szCs w:val="32"/>
          <w:lang w:val="en-US" w:eastAsia="zh-CN"/>
        </w:rPr>
        <w:t>南乐县应急管局</w:t>
      </w:r>
      <w:r>
        <w:rPr>
          <w:rFonts w:hint="eastAsia" w:ascii="仿宋" w:hAnsi="仿宋" w:eastAsia="仿宋" w:cs="宋体"/>
          <w:b/>
          <w:kern w:val="0"/>
          <w:sz w:val="32"/>
          <w:szCs w:val="32"/>
        </w:rPr>
        <w:t>部门</w:t>
      </w:r>
      <w:r>
        <w:rPr>
          <w:rFonts w:hint="eastAsia" w:ascii="仿宋" w:hAnsi="仿宋" w:eastAsia="仿宋" w:cs="宋体"/>
          <w:b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b/>
          <w:kern w:val="0"/>
          <w:sz w:val="32"/>
          <w:szCs w:val="32"/>
        </w:rPr>
        <w:t>年度行政处罚实施情况统计表</w:t>
      </w:r>
    </w:p>
    <w:tbl>
      <w:tblPr>
        <w:tblStyle w:val="4"/>
        <w:tblW w:w="8366" w:type="dxa"/>
        <w:tblCellSpacing w:w="0" w:type="dxa"/>
        <w:tblInd w:w="72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9"/>
        <w:gridCol w:w="818"/>
        <w:gridCol w:w="1065"/>
        <w:gridCol w:w="845"/>
        <w:gridCol w:w="830"/>
        <w:gridCol w:w="845"/>
        <w:gridCol w:w="698"/>
        <w:gridCol w:w="819"/>
        <w:gridCol w:w="992"/>
        <w:gridCol w:w="84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  <w:tblCellSpacing w:w="0" w:type="dxa"/>
        </w:trPr>
        <w:tc>
          <w:tcPr>
            <w:tcW w:w="8366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行政处罚实施数量（宗）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  <w:tblCellSpacing w:w="0" w:type="dxa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警告</w:t>
            </w:r>
          </w:p>
        </w:tc>
        <w:tc>
          <w:tcPr>
            <w:tcW w:w="818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罚款</w:t>
            </w:r>
          </w:p>
        </w:tc>
        <w:tc>
          <w:tcPr>
            <w:tcW w:w="1065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没收违法</w:t>
            </w:r>
          </w:p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所得、没收</w:t>
            </w:r>
          </w:p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非法财物</w:t>
            </w:r>
          </w:p>
        </w:tc>
        <w:tc>
          <w:tcPr>
            <w:tcW w:w="845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暂扣许可证、执照</w:t>
            </w:r>
          </w:p>
        </w:tc>
        <w:tc>
          <w:tcPr>
            <w:tcW w:w="830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责令停产停业</w:t>
            </w:r>
          </w:p>
        </w:tc>
        <w:tc>
          <w:tcPr>
            <w:tcW w:w="845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吊销许可证、执照</w:t>
            </w:r>
          </w:p>
        </w:tc>
        <w:tc>
          <w:tcPr>
            <w:tcW w:w="698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行政</w:t>
            </w:r>
          </w:p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拘留</w:t>
            </w:r>
          </w:p>
        </w:tc>
        <w:tc>
          <w:tcPr>
            <w:tcW w:w="819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其他行政处罚</w:t>
            </w:r>
          </w:p>
        </w:tc>
        <w:tc>
          <w:tcPr>
            <w:tcW w:w="992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合计（宗）</w:t>
            </w:r>
          </w:p>
        </w:tc>
        <w:tc>
          <w:tcPr>
            <w:tcW w:w="845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罚没金额（万元）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  <w:tblCellSpacing w:w="0" w:type="dxa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18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default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1065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45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30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45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8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19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92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845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default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29.35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0"/>
                <w:szCs w:val="10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0"/>
                <w:szCs w:val="1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0"/>
                <w:szCs w:val="10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0"/>
                <w:szCs w:val="10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0"/>
                <w:szCs w:val="1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0"/>
                <w:szCs w:val="10"/>
              </w:rPr>
            </w:pPr>
          </w:p>
        </w:tc>
      </w:tr>
    </w:tbl>
    <w:p>
      <w:pPr>
        <w:widowControl/>
        <w:spacing w:line="224" w:lineRule="atLeast"/>
        <w:jc w:val="left"/>
        <w:rPr>
          <w:rFonts w:ascii="微软雅黑" w:hAnsi="微软雅黑" w:eastAsia="微软雅黑" w:cs="宋体"/>
          <w:b/>
          <w:kern w:val="0"/>
          <w:sz w:val="11"/>
          <w:szCs w:val="11"/>
        </w:rPr>
      </w:pPr>
      <w:r>
        <w:rPr>
          <w:rFonts w:hint="eastAsia" w:ascii="仿宋_GB2312" w:hAnsi="微软雅黑" w:eastAsia="仿宋_GB2312" w:cs="宋体"/>
          <w:kern w:val="0"/>
          <w:sz w:val="13"/>
          <w:szCs w:val="13"/>
        </w:rPr>
        <w:t> </w:t>
      </w:r>
    </w:p>
    <w:p>
      <w:pPr>
        <w:widowControl/>
        <w:spacing w:line="224" w:lineRule="atLeast"/>
        <w:jc w:val="left"/>
        <w:rPr>
          <w:rFonts w:ascii="微软雅黑" w:hAnsi="微软雅黑" w:eastAsia="微软雅黑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说明：</w:t>
      </w:r>
    </w:p>
    <w:p>
      <w:pPr>
        <w:widowControl/>
        <w:spacing w:line="224" w:lineRule="atLeast"/>
        <w:ind w:firstLine="800" w:firstLineChars="250"/>
        <w:jc w:val="left"/>
        <w:rPr>
          <w:rFonts w:ascii="微软雅黑" w:hAnsi="微软雅黑" w:eastAsia="微软雅黑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1.行政处罚实施数量的统计范围为统计年度1月1日至12月31日期间作出行政处罚决定的数量。</w:t>
      </w:r>
    </w:p>
    <w:p>
      <w:pPr>
        <w:widowControl/>
        <w:spacing w:line="224" w:lineRule="atLeast"/>
        <w:ind w:firstLine="800" w:firstLineChars="250"/>
        <w:jc w:val="left"/>
        <w:rPr>
          <w:rFonts w:ascii="微软雅黑" w:hAnsi="微软雅黑" w:eastAsia="微软雅黑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2.单处一个类别行政处罚的，计入相应的行政处罚类别；并处两种以上行政处罚的，算一宗行政处罚，计入最重的行政处罚类别。如“没收违法所得，并处罚款”，计入“没收违法所得、没收非法财物”类别；并处明确类别的行政处罚和其他行政处罚的，计入明确类别的行政处罚，如“处罚款，并处其他行政处罚”，计入“罚款”类别。行政处罚类别从轻到重的顺序：（1）警告，（2）罚款，（3）没收违法所得、没收非法财物，（4）暂扣许可证、执照，（5）责令停产停业，（6）吊销许可证、执照，（7）行政拘留。</w:t>
      </w:r>
    </w:p>
    <w:p>
      <w:pPr>
        <w:widowControl/>
        <w:spacing w:line="224" w:lineRule="atLeast"/>
        <w:ind w:firstLine="800" w:firstLineChars="250"/>
        <w:jc w:val="left"/>
        <w:rPr>
          <w:rFonts w:ascii="微软雅黑" w:hAnsi="微软雅黑" w:eastAsia="微软雅黑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3.“没收违法所得、没收非法财物”能确定金额的，计入“罚没金额”；不能确定金额的，不计入“罚没金额”。</w:t>
      </w:r>
    </w:p>
    <w:p>
      <w:pPr>
        <w:widowControl/>
        <w:spacing w:line="224" w:lineRule="atLeast"/>
        <w:ind w:firstLine="800" w:firstLineChars="250"/>
        <w:jc w:val="left"/>
        <w:rPr>
          <w:rFonts w:ascii="微软雅黑" w:hAnsi="微软雅黑" w:eastAsia="微软雅黑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4.“罚没金额”以处罚决定书确定的金额为准。</w:t>
      </w:r>
    </w:p>
    <w:p>
      <w:pPr>
        <w:widowControl/>
        <w:spacing w:line="224" w:lineRule="atLeast"/>
        <w:ind w:firstLine="960" w:firstLineChars="300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二、行政许可实施情况统计表</w:t>
      </w:r>
    </w:p>
    <w:p>
      <w:pPr>
        <w:widowControl/>
        <w:spacing w:line="224" w:lineRule="atLeast"/>
        <w:jc w:val="center"/>
        <w:rPr>
          <w:rFonts w:ascii="仿宋" w:hAnsi="仿宋" w:eastAsia="仿宋" w:cs="宋体"/>
          <w:b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kern w:val="0"/>
          <w:sz w:val="32"/>
          <w:szCs w:val="32"/>
          <w:lang w:val="en-US" w:eastAsia="zh-CN"/>
        </w:rPr>
        <w:t>南乐县应急管局</w:t>
      </w:r>
      <w:r>
        <w:rPr>
          <w:rFonts w:hint="eastAsia" w:ascii="仿宋" w:hAnsi="仿宋" w:eastAsia="仿宋" w:cs="宋体"/>
          <w:b/>
          <w:kern w:val="0"/>
          <w:sz w:val="32"/>
          <w:szCs w:val="32"/>
        </w:rPr>
        <w:t>部门</w:t>
      </w:r>
      <w:r>
        <w:rPr>
          <w:rFonts w:hint="eastAsia" w:ascii="仿宋" w:hAnsi="仿宋" w:eastAsia="仿宋" w:cs="宋体"/>
          <w:b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b/>
          <w:kern w:val="0"/>
          <w:sz w:val="32"/>
          <w:szCs w:val="32"/>
        </w:rPr>
        <w:t>年度行政许可实施情况统计表</w:t>
      </w:r>
    </w:p>
    <w:tbl>
      <w:tblPr>
        <w:tblStyle w:val="4"/>
        <w:tblW w:w="0" w:type="auto"/>
        <w:jc w:val="center"/>
        <w:tblCellSpacing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96"/>
        <w:gridCol w:w="1584"/>
        <w:gridCol w:w="1440"/>
        <w:gridCol w:w="1296"/>
        <w:gridCol w:w="132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936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行政许可实施数量（宗）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9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申请数量</w:t>
            </w:r>
          </w:p>
        </w:tc>
        <w:tc>
          <w:tcPr>
            <w:tcW w:w="1584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受理数量</w:t>
            </w:r>
          </w:p>
        </w:tc>
        <w:tc>
          <w:tcPr>
            <w:tcW w:w="144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许可数量</w:t>
            </w:r>
          </w:p>
        </w:tc>
        <w:tc>
          <w:tcPr>
            <w:tcW w:w="1296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不予许可数量</w:t>
            </w:r>
          </w:p>
        </w:tc>
        <w:tc>
          <w:tcPr>
            <w:tcW w:w="132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撤销许可数量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9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584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44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296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32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9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584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</w:tr>
      <w:tr>
        <w:trPr>
          <w:tblCellSpacing w:w="0" w:type="dxa"/>
          <w:jc w:val="center"/>
        </w:trPr>
        <w:tc>
          <w:tcPr>
            <w:tcW w:w="129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584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  <w:tblCellSpacing w:w="0" w:type="dxa"/>
          <w:jc w:val="center"/>
        </w:trPr>
        <w:tc>
          <w:tcPr>
            <w:tcW w:w="129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0"/>
                <w:szCs w:val="1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0"/>
                <w:szCs w:val="10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0"/>
                <w:szCs w:val="1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0"/>
                <w:szCs w:val="10"/>
              </w:rPr>
            </w:pPr>
          </w:p>
        </w:tc>
      </w:tr>
    </w:tbl>
    <w:p>
      <w:pPr>
        <w:widowControl/>
        <w:spacing w:line="224" w:lineRule="atLeast"/>
        <w:jc w:val="left"/>
        <w:rPr>
          <w:rFonts w:ascii="微软雅黑" w:hAnsi="微软雅黑" w:eastAsia="微软雅黑" w:cs="宋体"/>
          <w:kern w:val="0"/>
          <w:sz w:val="11"/>
          <w:szCs w:val="11"/>
        </w:rPr>
      </w:pPr>
      <w:r>
        <w:rPr>
          <w:rFonts w:hint="eastAsia" w:ascii="仿宋_GB2312" w:hAnsi="微软雅黑" w:eastAsia="仿宋_GB2312" w:cs="宋体"/>
          <w:kern w:val="0"/>
          <w:sz w:val="13"/>
          <w:szCs w:val="13"/>
        </w:rPr>
        <w:t> </w:t>
      </w:r>
    </w:p>
    <w:p>
      <w:pPr>
        <w:widowControl/>
        <w:spacing w:line="224" w:lineRule="atLeast"/>
        <w:jc w:val="left"/>
        <w:rPr>
          <w:rFonts w:ascii="微软雅黑" w:hAnsi="微软雅黑" w:eastAsia="微软雅黑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说明：</w:t>
      </w:r>
    </w:p>
    <w:p>
      <w:pPr>
        <w:widowControl/>
        <w:spacing w:line="224" w:lineRule="atLeast"/>
        <w:ind w:firstLine="960" w:firstLineChars="300"/>
        <w:jc w:val="left"/>
        <w:rPr>
          <w:rFonts w:ascii="微软雅黑" w:hAnsi="微软雅黑" w:eastAsia="微软雅黑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1.“申请数量”的统计范围为统计年度1月1日至12月31日期间许可机关收到当事人许可申请的数量。</w:t>
      </w:r>
    </w:p>
    <w:p>
      <w:pPr>
        <w:widowControl/>
        <w:spacing w:line="224" w:lineRule="atLeast"/>
        <w:ind w:firstLine="960" w:firstLineChars="300"/>
        <w:jc w:val="left"/>
        <w:rPr>
          <w:rFonts w:ascii="微软雅黑" w:hAnsi="微软雅黑" w:eastAsia="微软雅黑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2.“受理数量”、“许可数量”、“不予许可数量”、“撤销许可数量”的统计范围为统计年度1月1日至12月31日期间许可机关作出受理决定、许可决定、不予许可决定和撤销许可决定的数量。</w:t>
      </w:r>
    </w:p>
    <w:p>
      <w:pPr>
        <w:widowControl/>
        <w:spacing w:line="224" w:lineRule="atLeast"/>
        <w:jc w:val="left"/>
        <w:rPr>
          <w:rFonts w:ascii="微软雅黑" w:hAnsi="微软雅黑" w:eastAsia="微软雅黑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 </w:t>
      </w:r>
    </w:p>
    <w:p>
      <w:pPr>
        <w:widowControl/>
        <w:spacing w:line="224" w:lineRule="atLeast"/>
        <w:ind w:firstLine="800" w:firstLineChars="250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三、行政强制实施情况统计表</w:t>
      </w:r>
    </w:p>
    <w:p>
      <w:pPr>
        <w:widowControl/>
        <w:spacing w:line="224" w:lineRule="atLeast"/>
        <w:ind w:firstLine="1120" w:firstLineChars="350"/>
        <w:rPr>
          <w:rFonts w:ascii="微软雅黑" w:hAnsi="微软雅黑" w:eastAsia="微软雅黑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  <w:lang w:val="en-US" w:eastAsia="zh-CN"/>
        </w:rPr>
        <w:t>南乐县应急管局</w:t>
      </w:r>
      <w:r>
        <w:rPr>
          <w:rFonts w:hint="eastAsia" w:ascii="黑体" w:hAnsi="黑体" w:eastAsia="黑体" w:cs="宋体"/>
          <w:kern w:val="0"/>
          <w:sz w:val="32"/>
          <w:szCs w:val="32"/>
        </w:rPr>
        <w:t>部门</w:t>
      </w:r>
      <w:r>
        <w:rPr>
          <w:rFonts w:hint="eastAsia" w:ascii="黑体" w:hAnsi="黑体" w:eastAsia="黑体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黑体" w:hAnsi="黑体" w:eastAsia="黑体" w:cs="宋体"/>
          <w:kern w:val="0"/>
          <w:sz w:val="32"/>
          <w:szCs w:val="32"/>
        </w:rPr>
        <w:t>年度行政强制实施情况统计表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735"/>
        <w:gridCol w:w="790"/>
        <w:gridCol w:w="743"/>
        <w:gridCol w:w="660"/>
        <w:gridCol w:w="681"/>
        <w:gridCol w:w="991"/>
        <w:gridCol w:w="790"/>
        <w:gridCol w:w="631"/>
        <w:gridCol w:w="631"/>
        <w:gridCol w:w="631"/>
        <w:gridCol w:w="4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1" w:type="dxa"/>
            <w:gridSpan w:val="4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行政强制措施实施数量（宗）</w:t>
            </w:r>
          </w:p>
        </w:tc>
        <w:tc>
          <w:tcPr>
            <w:tcW w:w="5015" w:type="dxa"/>
            <w:gridSpan w:val="7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行政强制执行实施数量（宗）</w:t>
            </w:r>
          </w:p>
        </w:tc>
        <w:tc>
          <w:tcPr>
            <w:tcW w:w="456" w:type="dxa"/>
            <w:vMerge w:val="restart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vMerge w:val="restart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line="224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查封场所、设施或者财物</w:t>
            </w:r>
          </w:p>
        </w:tc>
        <w:tc>
          <w:tcPr>
            <w:tcW w:w="735" w:type="dxa"/>
            <w:vMerge w:val="restart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扣押财物</w:t>
            </w:r>
          </w:p>
        </w:tc>
        <w:tc>
          <w:tcPr>
            <w:tcW w:w="790" w:type="dxa"/>
            <w:vMerge w:val="restart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冻结存款、汇款</w:t>
            </w:r>
          </w:p>
        </w:tc>
        <w:tc>
          <w:tcPr>
            <w:tcW w:w="743" w:type="dxa"/>
            <w:vMerge w:val="restart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其他行政强制措施</w:t>
            </w:r>
          </w:p>
        </w:tc>
        <w:tc>
          <w:tcPr>
            <w:tcW w:w="4384" w:type="dxa"/>
            <w:gridSpan w:val="6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行政机关强制执行</w:t>
            </w:r>
          </w:p>
        </w:tc>
        <w:tc>
          <w:tcPr>
            <w:tcW w:w="631" w:type="dxa"/>
            <w:vMerge w:val="restart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申请法院强制执行</w:t>
            </w:r>
          </w:p>
        </w:tc>
        <w:tc>
          <w:tcPr>
            <w:tcW w:w="0" w:type="auto"/>
            <w:vMerge w:val="continue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vMerge w:val="continue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continue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90" w:type="dxa"/>
            <w:vMerge w:val="continue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43" w:type="dxa"/>
            <w:vMerge w:val="continue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384" w:type="dxa"/>
            <w:gridSpan w:val="6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631" w:type="dxa"/>
            <w:vMerge w:val="continue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660" w:type="dxa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加处罚款或者滞纳金</w:t>
            </w:r>
          </w:p>
        </w:tc>
        <w:tc>
          <w:tcPr>
            <w:tcW w:w="681" w:type="dxa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划拨存款、汇款</w:t>
            </w:r>
          </w:p>
        </w:tc>
        <w:tc>
          <w:tcPr>
            <w:tcW w:w="991" w:type="dxa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拍卖或者依法处理查封、扣押的场所、设施或者财物</w:t>
            </w:r>
          </w:p>
        </w:tc>
        <w:tc>
          <w:tcPr>
            <w:tcW w:w="790" w:type="dxa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排除妨碍、恢复原状</w:t>
            </w:r>
          </w:p>
        </w:tc>
        <w:tc>
          <w:tcPr>
            <w:tcW w:w="631" w:type="dxa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代履行</w:t>
            </w:r>
          </w:p>
        </w:tc>
        <w:tc>
          <w:tcPr>
            <w:tcW w:w="631" w:type="dxa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其他强制执行</w:t>
            </w:r>
          </w:p>
        </w:tc>
        <w:tc>
          <w:tcPr>
            <w:tcW w:w="0" w:type="auto"/>
            <w:vMerge w:val="continue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35" w:type="dxa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90" w:type="dxa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43" w:type="dxa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60" w:type="dxa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1" w:type="dxa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91" w:type="dxa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90" w:type="dxa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31" w:type="dxa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31" w:type="dxa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31" w:type="dxa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456" w:type="dxa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783" w:type="dxa"/>
          </w:tcPr>
          <w:p>
            <w:pPr>
              <w:spacing w:line="224" w:lineRule="atLeast"/>
              <w:ind w:left="108"/>
              <w:jc w:val="left"/>
              <w:rPr>
                <w:rFonts w:ascii="仿宋_GB2312" w:hAnsi="微软雅黑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735" w:type="dxa"/>
          </w:tcPr>
          <w:p>
            <w:pPr>
              <w:spacing w:line="224" w:lineRule="atLeast"/>
              <w:jc w:val="left"/>
              <w:rPr>
                <w:rFonts w:ascii="仿宋_GB2312" w:hAnsi="微软雅黑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790" w:type="dxa"/>
          </w:tcPr>
          <w:p>
            <w:pPr>
              <w:spacing w:line="224" w:lineRule="atLeast"/>
              <w:jc w:val="left"/>
              <w:rPr>
                <w:rFonts w:ascii="仿宋_GB2312" w:hAnsi="微软雅黑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743" w:type="dxa"/>
          </w:tcPr>
          <w:p>
            <w:pPr>
              <w:spacing w:line="224" w:lineRule="atLeast"/>
              <w:jc w:val="left"/>
              <w:rPr>
                <w:rFonts w:ascii="仿宋_GB2312" w:hAnsi="微软雅黑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660" w:type="dxa"/>
          </w:tcPr>
          <w:p>
            <w:pPr>
              <w:spacing w:line="224" w:lineRule="atLeast"/>
              <w:jc w:val="left"/>
              <w:rPr>
                <w:rFonts w:ascii="仿宋_GB2312" w:hAnsi="微软雅黑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681" w:type="dxa"/>
          </w:tcPr>
          <w:p>
            <w:pPr>
              <w:spacing w:line="224" w:lineRule="atLeast"/>
              <w:jc w:val="left"/>
              <w:rPr>
                <w:rFonts w:ascii="仿宋_GB2312" w:hAnsi="微软雅黑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991" w:type="dxa"/>
          </w:tcPr>
          <w:p>
            <w:pPr>
              <w:spacing w:line="224" w:lineRule="atLeast"/>
              <w:jc w:val="left"/>
              <w:rPr>
                <w:rFonts w:ascii="仿宋_GB2312" w:hAnsi="微软雅黑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790" w:type="dxa"/>
          </w:tcPr>
          <w:p>
            <w:pPr>
              <w:spacing w:line="224" w:lineRule="atLeast"/>
              <w:jc w:val="left"/>
              <w:rPr>
                <w:rFonts w:ascii="仿宋_GB2312" w:hAnsi="微软雅黑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631" w:type="dxa"/>
          </w:tcPr>
          <w:p>
            <w:pPr>
              <w:spacing w:line="224" w:lineRule="atLeast"/>
              <w:jc w:val="left"/>
              <w:rPr>
                <w:rFonts w:ascii="仿宋_GB2312" w:hAnsi="微软雅黑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631" w:type="dxa"/>
          </w:tcPr>
          <w:p>
            <w:pPr>
              <w:spacing w:line="224" w:lineRule="atLeast"/>
              <w:jc w:val="left"/>
              <w:rPr>
                <w:rFonts w:ascii="仿宋_GB2312" w:hAnsi="微软雅黑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630" w:type="dxa"/>
          </w:tcPr>
          <w:p>
            <w:pPr>
              <w:spacing w:line="224" w:lineRule="atLeast"/>
              <w:jc w:val="left"/>
              <w:rPr>
                <w:rFonts w:ascii="仿宋_GB2312" w:hAnsi="微软雅黑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457" w:type="dxa"/>
          </w:tcPr>
          <w:p>
            <w:pPr>
              <w:spacing w:line="224" w:lineRule="atLeast"/>
              <w:jc w:val="left"/>
              <w:rPr>
                <w:rFonts w:ascii="仿宋_GB2312" w:hAnsi="微软雅黑" w:eastAsia="仿宋_GB2312" w:cs="宋体"/>
                <w:kern w:val="0"/>
                <w:sz w:val="18"/>
                <w:szCs w:val="18"/>
              </w:rPr>
            </w:pPr>
          </w:p>
        </w:tc>
      </w:tr>
    </w:tbl>
    <w:p>
      <w:pPr>
        <w:widowControl/>
        <w:spacing w:line="224" w:lineRule="atLeast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spacing w:line="224" w:lineRule="atLeast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说明：</w:t>
      </w:r>
    </w:p>
    <w:p>
      <w:pPr>
        <w:widowControl/>
        <w:spacing w:line="224" w:lineRule="atLeast"/>
        <w:ind w:firstLine="800" w:firstLineChars="25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1.“行政强制措施实施数量”的统计范围为统计年度1月1日至12月31日期间作出“查封场所、设施或者财物”、“扣押财务”、“冻结存款、汇款”或者“其他行政强制措施”决定的数量。</w:t>
      </w:r>
    </w:p>
    <w:p>
      <w:pPr>
        <w:widowControl/>
        <w:spacing w:line="224" w:lineRule="atLeast"/>
        <w:ind w:firstLine="800" w:firstLineChars="25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2.“行政强制执行实施数量” 的统计范围为统计年度1月1日至12月31日期间“加处罚款或者滞纳金”、“划拨存款、汇款”、“拍卖或者依法处理查封、扣押的场所、设施或者财物”、“排除妨碍、恢复原状”、“代履行”和“其他强制执行”等执行完毕或者终结执行的数量。</w:t>
      </w:r>
    </w:p>
    <w:p>
      <w:pPr>
        <w:widowControl/>
        <w:spacing w:line="224" w:lineRule="atLeast"/>
        <w:ind w:firstLine="800" w:firstLineChars="25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3.“申请法院强制执行”数量的统计范围为统计年度1月1日至12月31日期间向法院申请强制执行的数量，时间以申请日期为准。</w:t>
      </w:r>
    </w:p>
    <w:p>
      <w:pPr>
        <w:widowControl/>
        <w:spacing w:line="224" w:lineRule="atLeast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微软雅黑" w:eastAsia="仿宋" w:cs="宋体"/>
          <w:kern w:val="0"/>
          <w:sz w:val="32"/>
          <w:szCs w:val="32"/>
        </w:rPr>
        <w:t> </w:t>
      </w:r>
    </w:p>
    <w:p>
      <w:pPr>
        <w:widowControl/>
        <w:spacing w:line="224" w:lineRule="atLeast"/>
        <w:ind w:firstLine="640" w:firstLineChars="200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四、其他行政执法行为实施情况统计表</w:t>
      </w:r>
    </w:p>
    <w:p>
      <w:pPr>
        <w:widowControl/>
        <w:spacing w:line="224" w:lineRule="atLeast"/>
        <w:jc w:val="center"/>
        <w:rPr>
          <w:rFonts w:ascii="仿宋" w:hAnsi="仿宋" w:eastAsia="仿宋" w:cs="宋体"/>
          <w:b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kern w:val="0"/>
          <w:sz w:val="32"/>
          <w:szCs w:val="32"/>
          <w:lang w:val="en-US" w:eastAsia="zh-CN"/>
        </w:rPr>
        <w:t>南乐县应急管局</w:t>
      </w:r>
      <w:r>
        <w:rPr>
          <w:rFonts w:hint="eastAsia" w:ascii="仿宋" w:hAnsi="仿宋" w:eastAsia="仿宋" w:cs="宋体"/>
          <w:b/>
          <w:kern w:val="0"/>
          <w:sz w:val="32"/>
          <w:szCs w:val="32"/>
        </w:rPr>
        <w:t>部门</w:t>
      </w:r>
      <w:r>
        <w:rPr>
          <w:rFonts w:hint="eastAsia" w:ascii="仿宋" w:hAnsi="仿宋" w:eastAsia="仿宋" w:cs="宋体"/>
          <w:b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b/>
          <w:kern w:val="0"/>
          <w:sz w:val="32"/>
          <w:szCs w:val="32"/>
        </w:rPr>
        <w:t>年度其他行政执法行为实施情况统计表</w:t>
      </w:r>
    </w:p>
    <w:tbl>
      <w:tblPr>
        <w:tblStyle w:val="4"/>
        <w:tblW w:w="0" w:type="auto"/>
        <w:jc w:val="center"/>
        <w:tblCellSpacing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4"/>
        <w:gridCol w:w="981"/>
        <w:gridCol w:w="720"/>
        <w:gridCol w:w="613"/>
        <w:gridCol w:w="981"/>
        <w:gridCol w:w="505"/>
        <w:gridCol w:w="981"/>
        <w:gridCol w:w="720"/>
        <w:gridCol w:w="648"/>
        <w:gridCol w:w="838"/>
        <w:gridCol w:w="82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9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行政征收</w:t>
            </w:r>
          </w:p>
        </w:tc>
        <w:tc>
          <w:tcPr>
            <w:tcW w:w="72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行政检查</w:t>
            </w:r>
          </w:p>
        </w:tc>
        <w:tc>
          <w:tcPr>
            <w:tcW w:w="1594" w:type="dxa"/>
            <w:gridSpan w:val="2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行政裁决</w:t>
            </w:r>
          </w:p>
        </w:tc>
        <w:tc>
          <w:tcPr>
            <w:tcW w:w="1486" w:type="dxa"/>
            <w:gridSpan w:val="2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行政给付</w:t>
            </w:r>
          </w:p>
        </w:tc>
        <w:tc>
          <w:tcPr>
            <w:tcW w:w="72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行政确认</w:t>
            </w:r>
          </w:p>
        </w:tc>
        <w:tc>
          <w:tcPr>
            <w:tcW w:w="1486" w:type="dxa"/>
            <w:gridSpan w:val="2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行政奖励</w:t>
            </w:r>
          </w:p>
        </w:tc>
        <w:tc>
          <w:tcPr>
            <w:tcW w:w="827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其他行政执法行为</w:t>
            </w:r>
          </w:p>
        </w:tc>
      </w:tr>
      <w:tr>
        <w:trPr>
          <w:trHeight w:val="879" w:hRule="atLeast"/>
          <w:tblCellSpacing w:w="0" w:type="dxa"/>
          <w:jc w:val="center"/>
        </w:trPr>
        <w:tc>
          <w:tcPr>
            <w:tcW w:w="614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次数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征收总金额（万元）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次数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次数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涉及金额</w:t>
            </w:r>
          </w:p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（万元）</w:t>
            </w:r>
          </w:p>
        </w:tc>
        <w:tc>
          <w:tcPr>
            <w:tcW w:w="5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次数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给付总金额（万元）</w:t>
            </w:r>
          </w:p>
        </w:tc>
        <w:tc>
          <w:tcPr>
            <w:tcW w:w="72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次数</w:t>
            </w:r>
          </w:p>
        </w:tc>
        <w:tc>
          <w:tcPr>
            <w:tcW w:w="648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次数</w:t>
            </w:r>
          </w:p>
        </w:tc>
        <w:tc>
          <w:tcPr>
            <w:tcW w:w="838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奖励总金额（万元）</w:t>
            </w:r>
          </w:p>
        </w:tc>
        <w:tc>
          <w:tcPr>
            <w:tcW w:w="827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宗数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14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default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136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8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38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27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14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14" w:type="dxa"/>
            <w:tcBorders>
              <w:top w:val="nil"/>
              <w:left w:val="single" w:color="auto" w:sz="2" w:space="0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14" w:type="dxa"/>
            <w:tcBorders>
              <w:top w:val="nil"/>
              <w:left w:val="single" w:color="auto" w:sz="2" w:space="0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14" w:type="dxa"/>
            <w:tcBorders>
              <w:top w:val="nil"/>
              <w:left w:val="single" w:color="auto" w:sz="2" w:space="0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" w:hRule="atLeast"/>
          <w:tblCellSpacing w:w="0" w:type="dxa"/>
          <w:jc w:val="center"/>
        </w:trPr>
        <w:tc>
          <w:tcPr>
            <w:tcW w:w="614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</w:tbl>
    <w:p>
      <w:pPr>
        <w:widowControl/>
        <w:spacing w:line="224" w:lineRule="atLeast"/>
        <w:jc w:val="left"/>
        <w:rPr>
          <w:rFonts w:ascii="微软雅黑" w:hAnsi="微软雅黑" w:eastAsia="微软雅黑" w:cs="宋体"/>
          <w:kern w:val="0"/>
          <w:sz w:val="18"/>
          <w:szCs w:val="18"/>
        </w:rPr>
      </w:pPr>
      <w:r>
        <w:rPr>
          <w:rFonts w:hint="eastAsia" w:ascii="仿宋_GB2312" w:hAnsi="微软雅黑" w:eastAsia="仿宋_GB2312" w:cs="宋体"/>
          <w:kern w:val="0"/>
          <w:sz w:val="18"/>
          <w:szCs w:val="18"/>
        </w:rPr>
        <w:t> </w:t>
      </w:r>
    </w:p>
    <w:p>
      <w:pPr>
        <w:widowControl/>
        <w:spacing w:line="224" w:lineRule="atLeast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说明：</w:t>
      </w:r>
    </w:p>
    <w:p>
      <w:pPr>
        <w:widowControl/>
        <w:spacing w:line="224" w:lineRule="atLeast"/>
        <w:ind w:firstLine="800" w:firstLineChars="25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1.“行政征收次数”的统计范围为统计年度1月1日至12月31日期间征收完毕的数量。</w:t>
      </w:r>
    </w:p>
    <w:p>
      <w:pPr>
        <w:widowControl/>
        <w:spacing w:line="224" w:lineRule="atLeast"/>
        <w:ind w:firstLine="800" w:firstLineChars="25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2.“行政检查次数”的统计范围为统计年度1月1日至12月31日期间开展行政检查的次数。检查1个检查对象，有完整、详细的检查记录，计为检查1次。无特定检查对象的巡查、巡逻，无完整、详细检查记录，检查后作出行政处罚等其他行政执法行为的，均不计为检查次数。</w:t>
      </w:r>
    </w:p>
    <w:p>
      <w:pPr>
        <w:widowControl/>
        <w:spacing w:line="224" w:lineRule="atLeast"/>
        <w:ind w:firstLine="800" w:firstLineChars="25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3.“行政裁决次数”、“行政确认次数”、“行政奖励次数”的统计范围为统计年度1月1日至12月31日期间作出行政裁决、行政确认、行政奖励决定的数量。</w:t>
      </w:r>
    </w:p>
    <w:p>
      <w:pPr>
        <w:widowControl/>
        <w:spacing w:line="224" w:lineRule="atLeast"/>
        <w:ind w:firstLine="800" w:firstLineChars="25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4.“行政给付次数”的统计范围为统计年度1月1日至12月31日期间给付完毕的数量。</w:t>
      </w:r>
    </w:p>
    <w:p>
      <w:pPr>
        <w:widowControl/>
        <w:spacing w:line="224" w:lineRule="atLeast"/>
        <w:ind w:firstLine="800" w:firstLineChars="25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5.“其他行政执法行为”的统计范围为统计年度1月1日至12月31日期间完成的宗数。</w:t>
      </w:r>
    </w:p>
    <w:p>
      <w:pPr>
        <w:widowControl/>
        <w:spacing w:line="224" w:lineRule="atLeast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微软雅黑" w:eastAsia="仿宋" w:cs="宋体"/>
          <w:kern w:val="0"/>
          <w:sz w:val="32"/>
          <w:szCs w:val="32"/>
        </w:rPr>
        <w:t> </w:t>
      </w:r>
    </w:p>
    <w:p>
      <w:pPr>
        <w:widowControl/>
        <w:spacing w:line="296" w:lineRule="atLeast"/>
        <w:jc w:val="center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 xml:space="preserve">第二部分 </w:t>
      </w:r>
      <w:r>
        <w:rPr>
          <w:rFonts w:hint="eastAsia" w:ascii="黑体" w:hAnsi="黑体" w:eastAsia="黑体" w:cs="宋体"/>
          <w:kern w:val="0"/>
          <w:sz w:val="32"/>
          <w:szCs w:val="32"/>
          <w:lang w:val="en-US" w:eastAsia="zh-CN"/>
        </w:rPr>
        <w:t>南乐县应急管局</w:t>
      </w:r>
      <w:r>
        <w:rPr>
          <w:rFonts w:hint="eastAsia" w:ascii="黑体" w:hAnsi="黑体" w:eastAsia="黑体" w:cs="宋体"/>
          <w:kern w:val="0"/>
          <w:sz w:val="32"/>
          <w:szCs w:val="32"/>
        </w:rPr>
        <w:t>部门</w:t>
      </w:r>
      <w:r>
        <w:rPr>
          <w:rFonts w:hint="eastAsia" w:ascii="黑体" w:hAnsi="黑体" w:eastAsia="黑体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黑体" w:hAnsi="黑体" w:eastAsia="黑体" w:cs="宋体"/>
          <w:kern w:val="0"/>
          <w:sz w:val="32"/>
          <w:szCs w:val="32"/>
        </w:rPr>
        <w:t>年度行政执法情况说明</w:t>
      </w:r>
    </w:p>
    <w:p>
      <w:pPr>
        <w:widowControl/>
        <w:spacing w:line="296" w:lineRule="atLeast"/>
        <w:jc w:val="left"/>
        <w:rPr>
          <w:rFonts w:ascii="黑体" w:hAnsi="黑体" w:eastAsia="黑体" w:cs="宋体"/>
          <w:kern w:val="0"/>
          <w:sz w:val="11"/>
          <w:szCs w:val="11"/>
        </w:rPr>
      </w:pPr>
      <w:r>
        <w:rPr>
          <w:rFonts w:hint="eastAsia" w:ascii="仿宋_GB2312" w:hAnsi="微软雅黑" w:eastAsia="仿宋_GB2312" w:cs="宋体"/>
          <w:kern w:val="0"/>
          <w:sz w:val="17"/>
          <w:szCs w:val="17"/>
        </w:rPr>
        <w:t> </w:t>
      </w:r>
      <w:r>
        <w:rPr>
          <w:rFonts w:hint="eastAsia" w:ascii="微软雅黑" w:hAnsi="微软雅黑" w:eastAsia="微软雅黑" w:cs="宋体"/>
          <w:kern w:val="0"/>
          <w:sz w:val="11"/>
          <w:szCs w:val="11"/>
        </w:rPr>
        <w:t xml:space="preserve">            </w:t>
      </w:r>
      <w:r>
        <w:rPr>
          <w:rFonts w:hint="eastAsia" w:ascii="黑体" w:hAnsi="黑体" w:eastAsia="黑体" w:cs="宋体"/>
          <w:kern w:val="0"/>
          <w:sz w:val="32"/>
          <w:szCs w:val="32"/>
        </w:rPr>
        <w:t>一、行政处罚实施情况说明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年度行政处罚总数为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19起</w:t>
      </w:r>
      <w:r>
        <w:rPr>
          <w:rFonts w:hint="eastAsia" w:ascii="仿宋" w:hAnsi="仿宋" w:eastAsia="仿宋" w:cs="宋体"/>
          <w:kern w:val="0"/>
          <w:sz w:val="32"/>
          <w:szCs w:val="32"/>
        </w:rPr>
        <w:t>，罚没收入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29.35万</w:t>
      </w:r>
      <w:r>
        <w:rPr>
          <w:rFonts w:hint="eastAsia" w:ascii="仿宋" w:hAnsi="仿宋" w:eastAsia="仿宋" w:cs="宋体"/>
          <w:kern w:val="0"/>
          <w:sz w:val="32"/>
          <w:szCs w:val="32"/>
        </w:rPr>
        <w:t>元。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年度行政处罚被申请行政复议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宗，占行政处罚总数的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%；行政复议决定撤销、变更或者确认违法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宗，占被申请行政复议宗数的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%，占行政处罚总数的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宗，判决撤销、部分撤销、变更、确认违法或者确认无效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%，占行政处罚总数的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年度行政处罚直接被提起行政诉讼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宗，占行政处罚总数的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%；判决撤销、部分撤销、变更、确认违法或者确认无效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%，占行政处罚总数的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</w:t>
      </w:r>
    </w:p>
    <w:p>
      <w:pPr>
        <w:widowControl/>
        <w:spacing w:line="296" w:lineRule="atLeast"/>
        <w:ind w:firstLine="640" w:firstLineChars="200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二、行政许可实施情况说明</w:t>
      </w:r>
    </w:p>
    <w:p>
      <w:pPr>
        <w:widowControl/>
        <w:spacing w:line="296" w:lineRule="atLeast"/>
        <w:ind w:firstLine="480" w:firstLineChars="15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年度行政许可申请总数为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宗，予以许可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年度行政许可（含不予受理、予以许可和不予许可）被申请行政复议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宗，占行政许可申请总数的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%；行政复议决定履行法定职责、撤销、变更或者确认违法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宗，占被申请行政复议宗数的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%，占行政许可申请总数的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宗，判决履行法定职责、撤销、部分撤销、变更、确认违法或者确认无效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%，占行政许可申请总数的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年度行政许可（含不予受理、予以许可和不予许可）直接被提起行政诉讼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宗，占行政许可申请总数的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%；判决履行法定职责、撤销、部分撤销、变更、确认违法或者确认无效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%，占行政许可申请总数的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</w:t>
      </w:r>
    </w:p>
    <w:p>
      <w:pPr>
        <w:widowControl/>
        <w:spacing w:line="296" w:lineRule="atLeast"/>
        <w:ind w:firstLine="640" w:firstLineChars="200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三、行政强制实施情况说明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年度行政强制总数为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年度行政强制被申请行政复议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宗，占行政强制总数的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%；行政复议决定撤销、变更或者确认违法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宗，占被申请行政复议宗数的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%，占行政强制总数的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宗，判决撤销、部分撤销、变更、确认违法或者确认无效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%，占行政强制总数的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年度行政强制直接被提起行政诉讼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宗，占行政强制总数的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%；判决撤销、部分撤销、变更、确认违法或者确认无效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%，占行政强制总数的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</w:t>
      </w:r>
    </w:p>
    <w:p>
      <w:pPr>
        <w:widowControl/>
        <w:spacing w:line="296" w:lineRule="atLeast"/>
        <w:ind w:firstLine="640" w:firstLineChars="200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四、行政征收实施情况说明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年度行政征收总数为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次，征收总金额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元。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年度行政征收被申请行政复议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宗，占行政征收总数的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%；行政复议决定撤销、变更或者确认违法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宗，占被申请行政复议宗数的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%，占行政征收总数的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宗，判决撤销、部分撤销、变更、确认违法或者确认无效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%，占行政征收总数的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年度行政征收直接被提起行政诉讼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宗，占行政征收总数的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%；判决撤销、部分撤销、变更、确认违法或者确认无效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%，占行政征收总数的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</w:t>
      </w:r>
    </w:p>
    <w:p>
      <w:pPr>
        <w:widowControl/>
        <w:spacing w:line="296" w:lineRule="atLeast"/>
        <w:ind w:firstLine="640" w:firstLineChars="200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五、行政检查实施情况说明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年度行政检查总数为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136</w:t>
      </w:r>
      <w:r>
        <w:rPr>
          <w:rFonts w:hint="eastAsia" w:ascii="仿宋" w:hAnsi="仿宋" w:eastAsia="仿宋" w:cs="宋体"/>
          <w:kern w:val="0"/>
          <w:sz w:val="32"/>
          <w:szCs w:val="32"/>
        </w:rPr>
        <w:t>次。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年度行政检查被申请行政复议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宗，占行政检查总数的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%；行政复议决定确认违法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宗，占被申请行政复议宗数的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%，占行政检查总数的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宗，判决确认违法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%，占行政检查总数的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年度行政检查直接被提起行政诉讼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宗，占行政检查总数的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%；判决确认违法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%，占行政检查总数的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</w:t>
      </w:r>
    </w:p>
    <w:p>
      <w:pPr>
        <w:widowControl/>
        <w:spacing w:line="296" w:lineRule="atLeast"/>
        <w:ind w:firstLine="640" w:firstLineChars="200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六、行政裁决实施情况说明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年度行政裁决总数为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次，涉及总金额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元。</w:t>
      </w:r>
    </w:p>
    <w:p>
      <w:pPr>
        <w:widowControl/>
        <w:spacing w:line="296" w:lineRule="atLeast"/>
        <w:ind w:firstLine="640" w:firstLineChars="200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七、行政给付实施情况说明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年度行政给付总数为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次，给付总金额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元。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年度行政给付被申请行政复议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宗，占行政给付总数的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%；行政复议决定履行法定职责、撤销、变更或者确认违法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宗，占被申请行政复议宗数的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%，占行政给付总数的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宗，判决履行法定职责、履行给付职责、撤销、部分撤销、变更、确认违法或者确认无效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%，占行政给付总数的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年度行政给付直接被提起行政诉讼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宗，占行政给付总数的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%；判决履行法定职责、履行给付职责、撤销、部分撤销、变更、确认违法或者确认无效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%，占行政给付总数的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</w:t>
      </w:r>
    </w:p>
    <w:p>
      <w:pPr>
        <w:widowControl/>
        <w:spacing w:line="296" w:lineRule="atLeast"/>
        <w:ind w:firstLine="640" w:firstLineChars="200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八、行政确认实施情况说明</w:t>
      </w:r>
    </w:p>
    <w:p>
      <w:pPr>
        <w:widowControl/>
        <w:spacing w:line="296" w:lineRule="atLeast"/>
        <w:ind w:firstLine="480" w:firstLineChars="15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年度行政确认总数为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次。</w:t>
      </w:r>
    </w:p>
    <w:p>
      <w:pPr>
        <w:widowControl/>
        <w:spacing w:line="296" w:lineRule="atLeast"/>
        <w:ind w:firstLine="480" w:firstLineChars="15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年度行政确认被申请行政复议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宗，占行政确认总数的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%；行政复议决定履行法定职责、撤销、变更或者确认违法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宗，占被申请行政复议宗数的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%，占行政确认总数的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宗，判决履行法定职责、撤销、部分撤销、变更、确认违法或者确认无效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%，占行政确认总数的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年度行政确认直接被提起行政诉讼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宗，占行政确认总数的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%；判决履行法定职责、撤销、部分撤销、变更、确认违法或者确认无效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%，占行政确认总数的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</w:t>
      </w:r>
    </w:p>
    <w:p>
      <w:pPr>
        <w:widowControl/>
        <w:spacing w:line="296" w:lineRule="atLeast"/>
        <w:ind w:firstLine="640" w:firstLineChars="200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九、行政奖励实施情况说明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年度行政奖励总数为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次。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年度行政奖励被申请行政复议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宗，占行政奖励总数的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%；行政复议决定履行法定职责、撤销、变更或者确认违法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宗，占被申请行政复议宗数的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%，占行政奖励总数的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宗，判决履行法定职责、撤销、部分撤销、变更、确认违法或者确认无效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%，占行政奖励总数的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年度行政奖励直接被提起行政诉讼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宗，占行政奖励总数的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%；判决履行法定职责、撤销、部分撤销、变更、确认违法或者确认无效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%，占行政奖励总数的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</w:t>
      </w:r>
    </w:p>
    <w:p>
      <w:pPr>
        <w:widowControl/>
        <w:spacing w:line="296" w:lineRule="atLeast"/>
        <w:ind w:firstLine="640" w:firstLineChars="200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十、其他行政执法行为实施情况说明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年度其他行政执法行为总数为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年度其他行政执法行为被申请行政复议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宗，占其他行政执法行为总数的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%；行政复议决定履行法定职责、撤销、变更或者确认违法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宗，占被申请行政复议宗数的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%，占其他行政执法行为总数的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宗，判决履行法定职责、撤销、部分撤销、变更、确认违法或者确认无效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%，占其他行政执法行为总数的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年度其他行政执法行为直接被提起行政诉讼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宗，占其他行政执法行为总数的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%；判决履行法定职责、撤销、部分撤销、变更、确认违法或者确认无效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%，占其他行政执法行为总数的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（注：“被申请行政复议和被提起行政诉讼”数量的统计范围为统计年度1月1日至12月31日期间作出复议决定和生效判决的数量。）</w:t>
      </w:r>
    </w:p>
    <w:p>
      <w:pPr>
        <w:rPr>
          <w:rFonts w:ascii="仿宋" w:hAnsi="仿宋" w:eastAsia="仿宋" w:cs="宋体"/>
          <w:sz w:val="32"/>
          <w:szCs w:val="32"/>
        </w:rPr>
      </w:pPr>
    </w:p>
    <w:p>
      <w:pPr>
        <w:rPr>
          <w:rFonts w:hint="default" w:ascii="仿宋" w:hAnsi="仿宋" w:eastAsia="仿宋" w:cs="宋体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 xml:space="preserve">                                      2023年3月9日</w:t>
      </w:r>
      <w:bookmarkStart w:id="0" w:name="_GoBack"/>
      <w:bookmarkEnd w:id="0"/>
    </w:p>
    <w:p>
      <w:pPr>
        <w:rPr>
          <w:rFonts w:ascii="仿宋" w:hAnsi="仿宋" w:eastAsia="仿宋" w:cs="宋体"/>
          <w:sz w:val="32"/>
          <w:szCs w:val="32"/>
        </w:rPr>
      </w:pPr>
    </w:p>
    <w:p>
      <w:pPr>
        <w:rPr>
          <w:rFonts w:ascii="仿宋" w:hAnsi="仿宋" w:eastAsia="仿宋" w:cs="宋体"/>
          <w:sz w:val="32"/>
          <w:szCs w:val="32"/>
        </w:rPr>
      </w:pPr>
    </w:p>
    <w:p>
      <w:pPr>
        <w:spacing w:line="560" w:lineRule="exact"/>
        <w:rPr>
          <w:rFonts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文星标宋">
    <w:altName w:val="微软雅黑"/>
    <w:panose1 w:val="02010604000101010101"/>
    <w:charset w:val="86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403801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14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2NzQ1ODhmMDFlZWNjMWJjZDVhYTQxMWQxZjJjMTcifQ=="/>
  </w:docVars>
  <w:rsids>
    <w:rsidRoot w:val="00EA5E5E"/>
    <w:rsid w:val="00005C80"/>
    <w:rsid w:val="0003128E"/>
    <w:rsid w:val="000464FC"/>
    <w:rsid w:val="0006703F"/>
    <w:rsid w:val="00071EB3"/>
    <w:rsid w:val="000967A6"/>
    <w:rsid w:val="000A088B"/>
    <w:rsid w:val="000C1A88"/>
    <w:rsid w:val="000D5032"/>
    <w:rsid w:val="000E6F94"/>
    <w:rsid w:val="000F13CC"/>
    <w:rsid w:val="0012077F"/>
    <w:rsid w:val="00123B31"/>
    <w:rsid w:val="00144AF9"/>
    <w:rsid w:val="00165462"/>
    <w:rsid w:val="001B7CBF"/>
    <w:rsid w:val="001D4135"/>
    <w:rsid w:val="001E1DE0"/>
    <w:rsid w:val="002155B0"/>
    <w:rsid w:val="00252A9E"/>
    <w:rsid w:val="00262581"/>
    <w:rsid w:val="002702B5"/>
    <w:rsid w:val="002825D6"/>
    <w:rsid w:val="00353682"/>
    <w:rsid w:val="00364C88"/>
    <w:rsid w:val="00377D88"/>
    <w:rsid w:val="00384D85"/>
    <w:rsid w:val="003928B9"/>
    <w:rsid w:val="003A5CCD"/>
    <w:rsid w:val="00415ECE"/>
    <w:rsid w:val="0046228A"/>
    <w:rsid w:val="004B1917"/>
    <w:rsid w:val="004C151B"/>
    <w:rsid w:val="004E1D8D"/>
    <w:rsid w:val="005268A6"/>
    <w:rsid w:val="00553D72"/>
    <w:rsid w:val="00557DBD"/>
    <w:rsid w:val="00566FAC"/>
    <w:rsid w:val="005B5651"/>
    <w:rsid w:val="005D3E1A"/>
    <w:rsid w:val="005E02D3"/>
    <w:rsid w:val="0060144D"/>
    <w:rsid w:val="00606CEF"/>
    <w:rsid w:val="00643F6E"/>
    <w:rsid w:val="00644F8A"/>
    <w:rsid w:val="006D1A89"/>
    <w:rsid w:val="006F20E6"/>
    <w:rsid w:val="00724137"/>
    <w:rsid w:val="007468B7"/>
    <w:rsid w:val="007B3044"/>
    <w:rsid w:val="007F6C6F"/>
    <w:rsid w:val="0084633D"/>
    <w:rsid w:val="00872F6A"/>
    <w:rsid w:val="008C2746"/>
    <w:rsid w:val="00912269"/>
    <w:rsid w:val="00917A0D"/>
    <w:rsid w:val="0093489A"/>
    <w:rsid w:val="00934A27"/>
    <w:rsid w:val="00967FB6"/>
    <w:rsid w:val="00987CFF"/>
    <w:rsid w:val="00990DEE"/>
    <w:rsid w:val="00A476E5"/>
    <w:rsid w:val="00A5740F"/>
    <w:rsid w:val="00A935C9"/>
    <w:rsid w:val="00AE3BBF"/>
    <w:rsid w:val="00B531D2"/>
    <w:rsid w:val="00B57FA0"/>
    <w:rsid w:val="00B70A22"/>
    <w:rsid w:val="00B75096"/>
    <w:rsid w:val="00B76FED"/>
    <w:rsid w:val="00B9136D"/>
    <w:rsid w:val="00BB531F"/>
    <w:rsid w:val="00BB74F9"/>
    <w:rsid w:val="00C01C12"/>
    <w:rsid w:val="00C55959"/>
    <w:rsid w:val="00CC1D39"/>
    <w:rsid w:val="00CC7CB6"/>
    <w:rsid w:val="00CF0230"/>
    <w:rsid w:val="00CF5467"/>
    <w:rsid w:val="00D011CD"/>
    <w:rsid w:val="00D3123F"/>
    <w:rsid w:val="00D62B67"/>
    <w:rsid w:val="00D71A1F"/>
    <w:rsid w:val="00D97845"/>
    <w:rsid w:val="00E1278D"/>
    <w:rsid w:val="00E25E63"/>
    <w:rsid w:val="00E4005C"/>
    <w:rsid w:val="00E47141"/>
    <w:rsid w:val="00E90163"/>
    <w:rsid w:val="00EA5E5E"/>
    <w:rsid w:val="00EF5F39"/>
    <w:rsid w:val="00EF748B"/>
    <w:rsid w:val="00F27F80"/>
    <w:rsid w:val="00F74EA4"/>
    <w:rsid w:val="00F81956"/>
    <w:rsid w:val="00FB35C7"/>
    <w:rsid w:val="00FB6658"/>
    <w:rsid w:val="00FC6827"/>
    <w:rsid w:val="00FE19BE"/>
    <w:rsid w:val="00FE7609"/>
    <w:rsid w:val="01C54B55"/>
    <w:rsid w:val="02315B23"/>
    <w:rsid w:val="068D41EC"/>
    <w:rsid w:val="0BD51E39"/>
    <w:rsid w:val="0C8C0749"/>
    <w:rsid w:val="0EFA4090"/>
    <w:rsid w:val="11166833"/>
    <w:rsid w:val="112076B2"/>
    <w:rsid w:val="11405FA6"/>
    <w:rsid w:val="126C2F8C"/>
    <w:rsid w:val="15F66C34"/>
    <w:rsid w:val="1666025D"/>
    <w:rsid w:val="1ADF238C"/>
    <w:rsid w:val="1BFD0D1C"/>
    <w:rsid w:val="1CFC0FD3"/>
    <w:rsid w:val="1CFD598E"/>
    <w:rsid w:val="1F572E39"/>
    <w:rsid w:val="1FE67D19"/>
    <w:rsid w:val="201E74B3"/>
    <w:rsid w:val="205C7FDB"/>
    <w:rsid w:val="20F52909"/>
    <w:rsid w:val="21B23AFA"/>
    <w:rsid w:val="27FA6A57"/>
    <w:rsid w:val="2A756869"/>
    <w:rsid w:val="2C136339"/>
    <w:rsid w:val="2CEF2903"/>
    <w:rsid w:val="2F6649D2"/>
    <w:rsid w:val="31642EB0"/>
    <w:rsid w:val="31DD48BD"/>
    <w:rsid w:val="339B5ACE"/>
    <w:rsid w:val="381E22EE"/>
    <w:rsid w:val="42890CAC"/>
    <w:rsid w:val="46F04E55"/>
    <w:rsid w:val="48853CF8"/>
    <w:rsid w:val="48B33C17"/>
    <w:rsid w:val="4EA338EA"/>
    <w:rsid w:val="507E6194"/>
    <w:rsid w:val="5221680B"/>
    <w:rsid w:val="560A5808"/>
    <w:rsid w:val="564816E8"/>
    <w:rsid w:val="5A581238"/>
    <w:rsid w:val="5AD74773"/>
    <w:rsid w:val="5FAF15CD"/>
    <w:rsid w:val="60AE1BB1"/>
    <w:rsid w:val="62C76F5B"/>
    <w:rsid w:val="63737C62"/>
    <w:rsid w:val="65C6174B"/>
    <w:rsid w:val="69605A13"/>
    <w:rsid w:val="6B3C0E7E"/>
    <w:rsid w:val="6E3F653F"/>
    <w:rsid w:val="6E71421E"/>
    <w:rsid w:val="724F4877"/>
    <w:rsid w:val="72FF004B"/>
    <w:rsid w:val="751029E3"/>
    <w:rsid w:val="76CD018F"/>
    <w:rsid w:val="7DBB7264"/>
    <w:rsid w:val="7EE30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26586C7D-3B2D-4F5A-AF00-294D68B49CF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4471</Words>
  <Characters>4707</Characters>
  <Lines>44</Lines>
  <Paragraphs>12</Paragraphs>
  <TotalTime>1214</TotalTime>
  <ScaleCrop>false</ScaleCrop>
  <LinksUpToDate>false</LinksUpToDate>
  <CharactersWithSpaces>4774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2020-08-27T07:37:00Z</dcterms:created>
  <dc:creator>Administrator</dc:creator>
  <cp:lastModifiedBy>上善若水</cp:lastModifiedBy>
  <cp:lastPrinted>2020-08-28T09:36:00Z</cp:lastPrinted>
  <dcterms:modified xsi:type="dcterms:W3CDTF">2023-03-09T07:46:01Z</dcterms:modified>
  <cp:revision>166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762489021_btnclosed</vt:lpwstr>
  </property>
  <property fmtid="{D5CDD505-2E9C-101B-9397-08002B2CF9AE}" pid="3" name="KSOProductBuildVer">
    <vt:lpwstr>2052-11.1.0.13703</vt:lpwstr>
  </property>
  <property fmtid="{D5CDD505-2E9C-101B-9397-08002B2CF9AE}" pid="4" name="ICV">
    <vt:lpwstr>AFC3A83661FB4FE79FB51FDDF63BB357</vt:lpwstr>
  </property>
</Properties>
</file>