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24" w:lineRule="atLeast"/>
        <w:jc w:val="center"/>
        <w:rPr>
          <w:rFonts w:ascii="文星标宋" w:hAnsi="文星标宋" w:eastAsia="文星标宋" w:cs="宋体"/>
          <w:kern w:val="0"/>
          <w:sz w:val="44"/>
          <w:szCs w:val="44"/>
        </w:rPr>
      </w:pPr>
      <w:r>
        <w:rPr>
          <w:rFonts w:hint="eastAsia" w:ascii="文星标宋" w:hAnsi="文星标宋" w:eastAsia="文星标宋" w:cs="宋体"/>
          <w:kern w:val="0"/>
          <w:sz w:val="44"/>
          <w:szCs w:val="44"/>
          <w:lang w:val="en-US" w:eastAsia="zh-CN"/>
        </w:rPr>
        <w:t>南乐县行政审批和政务信息管理局2022</w:t>
      </w:r>
      <w:r>
        <w:rPr>
          <w:rFonts w:hint="eastAsia" w:ascii="文星标宋" w:hAnsi="文星标宋" w:eastAsia="文星标宋" w:cs="宋体"/>
          <w:kern w:val="0"/>
          <w:sz w:val="44"/>
          <w:szCs w:val="44"/>
        </w:rPr>
        <w:t>年度行政执法统计年报</w:t>
      </w:r>
    </w:p>
    <w:p>
      <w:pPr>
        <w:widowControl/>
        <w:spacing w:line="224" w:lineRule="atLeast"/>
        <w:jc w:val="both"/>
        <w:rPr>
          <w:rFonts w:ascii="微软雅黑" w:hAnsi="微软雅黑" w:eastAsia="微软雅黑" w:cs="宋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0"/>
          <w:sz w:val="44"/>
          <w:szCs w:val="44"/>
        </w:rPr>
        <w:t> </w:t>
      </w:r>
      <w:r>
        <w:rPr>
          <w:rFonts w:hint="eastAsia" w:ascii="微软雅黑" w:hAnsi="微软雅黑" w:eastAsia="微软雅黑" w:cs="宋体"/>
          <w:kern w:val="0"/>
          <w:sz w:val="44"/>
          <w:szCs w:val="44"/>
        </w:rPr>
        <w:t xml:space="preserve">           </w:t>
      </w:r>
      <w:r>
        <w:rPr>
          <w:rFonts w:hint="eastAsia" w:ascii="仿宋" w:hAnsi="仿宋" w:eastAsia="仿宋" w:cs="宋体"/>
          <w:b/>
          <w:kern w:val="0"/>
          <w:sz w:val="52"/>
          <w:szCs w:val="52"/>
        </w:rPr>
        <w:t>目</w:t>
      </w:r>
      <w:r>
        <w:rPr>
          <w:rFonts w:hint="eastAsia" w:ascii="仿宋" w:hAnsi="微软雅黑" w:eastAsia="仿宋" w:cs="宋体"/>
          <w:b/>
          <w:kern w:val="0"/>
          <w:sz w:val="52"/>
          <w:szCs w:val="52"/>
        </w:rPr>
        <w:t>   </w:t>
      </w:r>
      <w:r>
        <w:rPr>
          <w:rFonts w:hint="eastAsia" w:ascii="仿宋" w:hAnsi="仿宋" w:eastAsia="仿宋" w:cs="宋体"/>
          <w:b/>
          <w:kern w:val="0"/>
          <w:sz w:val="52"/>
          <w:szCs w:val="52"/>
        </w:rPr>
        <w:t>录</w:t>
      </w:r>
    </w:p>
    <w:p>
      <w:pPr>
        <w:widowControl/>
        <w:spacing w:line="224" w:lineRule="atLeast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第一部分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南乐县行政审批和政务信息管理局2022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行政执法数据表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ind w:firstLine="344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第二部分</w:t>
      </w:r>
      <w:r>
        <w:rPr>
          <w:rFonts w:hint="eastAsia" w:ascii="黑体" w:hAnsi="微软雅黑" w:eastAsia="黑体" w:cs="宋体"/>
          <w:kern w:val="0"/>
          <w:sz w:val="32"/>
          <w:szCs w:val="32"/>
        </w:rPr>
        <w:t> 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南乐县行政审批和政务信息管理局2022年度</w:t>
      </w:r>
      <w:r>
        <w:rPr>
          <w:rFonts w:hint="eastAsia" w:ascii="黑体" w:hAnsi="黑体" w:eastAsia="黑体" w:cs="宋体"/>
          <w:kern w:val="0"/>
          <w:sz w:val="32"/>
          <w:szCs w:val="32"/>
        </w:rPr>
        <w:t>行政执法情况说明</w:t>
      </w:r>
    </w:p>
    <w:p>
      <w:pPr>
        <w:widowControl/>
        <w:spacing w:line="224" w:lineRule="atLeast"/>
        <w:ind w:firstLine="344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24" w:lineRule="atLeast"/>
        <w:ind w:firstLine="320" w:firstLineChars="100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320" w:firstLineChars="1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24" w:lineRule="atLeast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pPr>
        <w:widowControl/>
        <w:spacing w:line="224" w:lineRule="atLeast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pPr>
        <w:widowControl/>
        <w:spacing w:line="224" w:lineRule="atLeast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pPr>
        <w:widowControl/>
        <w:spacing w:line="224" w:lineRule="atLeast"/>
        <w:jc w:val="center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第一部分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南乐县行政审批和政务信息管理局2022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年度行政执法数据表</w:t>
      </w:r>
    </w:p>
    <w:p>
      <w:pPr>
        <w:widowControl/>
        <w:spacing w:line="224" w:lineRule="atLeast"/>
        <w:ind w:firstLine="344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一、行政处罚实施情况统计表</w:t>
      </w:r>
    </w:p>
    <w:p>
      <w:pPr>
        <w:widowControl/>
        <w:spacing w:line="224" w:lineRule="atLeast"/>
        <w:jc w:val="center"/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/>
        </w:rPr>
        <w:t>南乐县行政审批和政务信息管理局2022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</w:rPr>
        <w:t>年度行政处罚实施情况统计表</w:t>
      </w:r>
    </w:p>
    <w:tbl>
      <w:tblPr>
        <w:tblStyle w:val="4"/>
        <w:tblW w:w="8366" w:type="dxa"/>
        <w:tblCellSpacing w:w="0" w:type="dxa"/>
        <w:tblInd w:w="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818"/>
        <w:gridCol w:w="1065"/>
        <w:gridCol w:w="845"/>
        <w:gridCol w:w="830"/>
        <w:gridCol w:w="845"/>
        <w:gridCol w:w="698"/>
        <w:gridCol w:w="819"/>
        <w:gridCol w:w="992"/>
        <w:gridCol w:w="8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tblCellSpacing w:w="0" w:type="dxa"/>
        </w:trPr>
        <w:tc>
          <w:tcPr>
            <w:tcW w:w="8366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行政处罚实施数量（宗）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警告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罚款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没收违法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所得、没收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非法财物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暂扣许可证、执照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责令停产停业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吊销许可证、执照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拘留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其他行政处罚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合计（宗）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罚没金额（万元）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06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0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8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19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9" w:type="dxa"/>
            <w:tcBorders>
              <w:top w:val="nil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b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1.行政处罚实施数量的统计范围为统计年度1月1日至12月31日期间作出行政处罚决定的数量。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widowControl/>
        <w:spacing w:line="224" w:lineRule="atLeast"/>
        <w:ind w:firstLine="800" w:firstLineChars="25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4.“罚没金额”以处罚决定书确定的金额为准。</w:t>
      </w:r>
    </w:p>
    <w:p>
      <w:pPr>
        <w:widowControl/>
        <w:spacing w:line="224" w:lineRule="atLeast"/>
        <w:ind w:firstLine="960" w:firstLineChars="3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二、行政许可实施情况统计表</w:t>
      </w:r>
    </w:p>
    <w:p>
      <w:pPr>
        <w:widowControl/>
        <w:spacing w:line="224" w:lineRule="atLeast"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24"/>
          <w:szCs w:val="24"/>
          <w:lang w:val="en-US" w:eastAsia="zh-CN"/>
        </w:rPr>
        <w:t>南乐县行政审批和政务信息管理局2022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24"/>
          <w:szCs w:val="24"/>
        </w:rPr>
        <w:t>年度行政许可实施情况统计表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584"/>
        <w:gridCol w:w="1440"/>
        <w:gridCol w:w="1296"/>
        <w:gridCol w:w="1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93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行政许可实施数量（宗）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申请数量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受理数量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许可数量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不予许可数量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撤销许可数量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9356</w:t>
            </w: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9356</w:t>
            </w: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9356</w:t>
            </w: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tabs>
                <w:tab w:val="left" w:pos="422"/>
              </w:tabs>
              <w:spacing w:line="224" w:lineRule="atLeast"/>
              <w:jc w:val="left"/>
              <w:rPr>
                <w:rFonts w:hint="default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eastAsia="zh-CN"/>
              </w:rPr>
              <w:tab/>
            </w: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tblCellSpacing w:w="0" w:type="dxa"/>
          <w:jc w:val="center"/>
        </w:trPr>
        <w:tc>
          <w:tcPr>
            <w:tcW w:w="129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0"/>
                <w:szCs w:val="10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3"/>
          <w:szCs w:val="13"/>
        </w:rPr>
        <w:t> 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1.“申请数量”的统计范围为统计年度1月1日至12月31日期间许可机关收到当事人许可申请的数量。</w:t>
      </w:r>
    </w:p>
    <w:p>
      <w:pPr>
        <w:widowControl/>
        <w:spacing w:line="224" w:lineRule="atLeast"/>
        <w:ind w:firstLine="960" w:firstLineChars="300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2.“受理数量”、“许可数量”、“不予许可数量”、“撤销许可数量”的统计范围为统计年度1月1日至12月31日期间许可机关作出受理决定、许可决定、不予许可决定和撤销许可决定的数量。</w:t>
      </w:r>
    </w:p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ind w:firstLine="800" w:firstLineChars="25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三、行政强制实施情况统计表</w:t>
      </w:r>
    </w:p>
    <w:p>
      <w:pPr>
        <w:widowControl/>
        <w:spacing w:line="224" w:lineRule="atLeast"/>
        <w:ind w:firstLine="843" w:firstLineChars="350"/>
        <w:jc w:val="center"/>
        <w:rPr>
          <w:rFonts w:hint="eastAsia" w:ascii="新宋体" w:hAnsi="新宋体" w:eastAsia="新宋体" w:cs="新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kern w:val="0"/>
          <w:sz w:val="24"/>
          <w:szCs w:val="24"/>
          <w:lang w:val="en-US" w:eastAsia="zh-CN"/>
        </w:rPr>
        <w:t>南乐县行政审批和政务信息管理局2022</w:t>
      </w:r>
      <w:r>
        <w:rPr>
          <w:rFonts w:hint="eastAsia" w:ascii="新宋体" w:hAnsi="新宋体" w:eastAsia="新宋体" w:cs="新宋体"/>
          <w:b/>
          <w:bCs/>
          <w:kern w:val="0"/>
          <w:sz w:val="24"/>
          <w:szCs w:val="24"/>
        </w:rPr>
        <w:t>年度行政强制实施情况统计表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35"/>
        <w:gridCol w:w="790"/>
        <w:gridCol w:w="743"/>
        <w:gridCol w:w="660"/>
        <w:gridCol w:w="681"/>
        <w:gridCol w:w="991"/>
        <w:gridCol w:w="790"/>
        <w:gridCol w:w="631"/>
        <w:gridCol w:w="631"/>
        <w:gridCol w:w="631"/>
        <w:gridCol w:w="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1" w:type="dxa"/>
            <w:gridSpan w:val="4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行政强制措施实施数量（宗）</w:t>
            </w:r>
          </w:p>
        </w:tc>
        <w:tc>
          <w:tcPr>
            <w:tcW w:w="5015" w:type="dxa"/>
            <w:gridSpan w:val="7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行政强制执行实施数量（宗）</w:t>
            </w:r>
          </w:p>
        </w:tc>
        <w:tc>
          <w:tcPr>
            <w:tcW w:w="456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查封场所、设施或者财物</w:t>
            </w:r>
          </w:p>
        </w:tc>
        <w:tc>
          <w:tcPr>
            <w:tcW w:w="735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扣押财物</w:t>
            </w:r>
          </w:p>
        </w:tc>
        <w:tc>
          <w:tcPr>
            <w:tcW w:w="790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冻结存款、汇款</w:t>
            </w:r>
          </w:p>
        </w:tc>
        <w:tc>
          <w:tcPr>
            <w:tcW w:w="743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其他行政强制措施</w:t>
            </w: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行政机关强制执行</w:t>
            </w:r>
          </w:p>
        </w:tc>
        <w:tc>
          <w:tcPr>
            <w:tcW w:w="631" w:type="dxa"/>
            <w:vMerge w:val="restart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申请法院强制执行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384" w:type="dxa"/>
            <w:gridSpan w:val="6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1" w:type="dxa"/>
            <w:vMerge w:val="continue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加处罚款或者滞纳金</w:t>
            </w:r>
          </w:p>
        </w:tc>
        <w:tc>
          <w:tcPr>
            <w:tcW w:w="68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划拨存款、汇款</w:t>
            </w:r>
          </w:p>
        </w:tc>
        <w:tc>
          <w:tcPr>
            <w:tcW w:w="99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拍卖或者依法处理查封、扣押的场所、设施或者财物</w:t>
            </w:r>
          </w:p>
        </w:tc>
        <w:tc>
          <w:tcPr>
            <w:tcW w:w="790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排除妨碍、恢复原状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代履行</w:t>
            </w:r>
          </w:p>
        </w:tc>
        <w:tc>
          <w:tcPr>
            <w:tcW w:w="631" w:type="dxa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其他强制执行</w:t>
            </w: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43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9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31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456" w:type="dxa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83" w:type="dxa"/>
          </w:tcPr>
          <w:p>
            <w:pPr>
              <w:spacing w:line="224" w:lineRule="atLeast"/>
              <w:ind w:left="108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35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43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6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8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99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1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457" w:type="dxa"/>
          </w:tcPr>
          <w:p>
            <w:pPr>
              <w:spacing w:line="224" w:lineRule="atLeast"/>
              <w:jc w:val="left"/>
              <w:rPr>
                <w:rFonts w:ascii="仿宋_GB2312" w:hAnsi="微软雅黑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1.“行政强制措施实施数量”的统计范围为统计年度1月1日至12月31日期间作出“查封场所、设施或者财物”、“扣押财务”、“冻结存款、汇款”或者“其他行政强制措施”决定的数量。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2.“行政强制执行实施数量” 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3.“申请法院强制执行”数量的统计范围为统计年度1月1日至12月31日期间向法院申请强制执行的数量，时间以申请日期为准。</w:t>
      </w:r>
    </w:p>
    <w:p>
      <w:pPr>
        <w:widowControl/>
        <w:spacing w:line="224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四、其他行政执法行为实施情况统计表</w:t>
      </w:r>
    </w:p>
    <w:p>
      <w:pPr>
        <w:widowControl/>
        <w:spacing w:line="224" w:lineRule="atLeast"/>
        <w:jc w:val="center"/>
        <w:rPr>
          <w:rFonts w:hint="eastAsia" w:ascii="新宋体" w:hAnsi="新宋体" w:eastAsia="新宋体" w:cs="新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kern w:val="0"/>
          <w:sz w:val="24"/>
          <w:szCs w:val="24"/>
          <w:lang w:val="en-US" w:eastAsia="zh-CN"/>
        </w:rPr>
        <w:t>南乐县行政审批和政务信息管理局2022</w:t>
      </w:r>
      <w:r>
        <w:rPr>
          <w:rFonts w:hint="eastAsia" w:ascii="新宋体" w:hAnsi="新宋体" w:eastAsia="新宋体" w:cs="新宋体"/>
          <w:b/>
          <w:bCs/>
          <w:kern w:val="0"/>
          <w:sz w:val="24"/>
          <w:szCs w:val="24"/>
        </w:rPr>
        <w:t>年度其他行政执法行为实施情况统计表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981"/>
        <w:gridCol w:w="720"/>
        <w:gridCol w:w="613"/>
        <w:gridCol w:w="981"/>
        <w:gridCol w:w="505"/>
        <w:gridCol w:w="981"/>
        <w:gridCol w:w="720"/>
        <w:gridCol w:w="648"/>
        <w:gridCol w:w="838"/>
        <w:gridCol w:w="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行政征收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行政检查</w:t>
            </w:r>
          </w:p>
        </w:tc>
        <w:tc>
          <w:tcPr>
            <w:tcW w:w="1594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行政裁决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行政给付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行政确认</w:t>
            </w:r>
          </w:p>
        </w:tc>
        <w:tc>
          <w:tcPr>
            <w:tcW w:w="1486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行政奖励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其他行政执法行为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征收总金额（万元）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涉及金额</w:t>
            </w:r>
          </w:p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给付总金额（万元）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次数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奖励总金额（万元）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  <w:t>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微软雅黑" w:eastAsia="楷体_GB2312" w:cs="宋体"/>
                <w:b/>
                <w:bCs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>
            <w:pPr>
              <w:widowControl/>
              <w:spacing w:line="224" w:lineRule="atLeast"/>
              <w:jc w:val="center"/>
              <w:rPr>
                <w:rFonts w:ascii="楷体_GB2312" w:hAnsi="微软雅黑" w:eastAsia="楷体_GB2312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tblCellSpacing w:w="0" w:type="dxa"/>
          <w:jc w:val="center"/>
        </w:trPr>
        <w:tc>
          <w:tcPr>
            <w:tcW w:w="614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24" w:lineRule="atLeast"/>
        <w:jc w:val="left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18"/>
          <w:szCs w:val="18"/>
        </w:rPr>
        <w:t> </w:t>
      </w:r>
    </w:p>
    <w:p>
      <w:pPr>
        <w:widowControl/>
        <w:spacing w:line="224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说明：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1.“行政征收次数”的统计范围为统计年度1月1日至12月31日期间征收完毕的数量。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4.“行政给付次数”的统计范围为统计年度1月1日至12月31日期间给付完毕的数量。</w:t>
      </w:r>
    </w:p>
    <w:p>
      <w:pPr>
        <w:widowControl/>
        <w:spacing w:line="224" w:lineRule="atLeas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5.“其他行政执法行为”的统计范围为统计年度1月1日至12月31日期间完成的宗数。</w:t>
      </w: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  <w:r>
        <w:rPr>
          <w:rFonts w:hint="eastAsia" w:ascii="仿宋" w:hAnsi="微软雅黑" w:eastAsia="仿宋" w:cs="宋体"/>
          <w:kern w:val="0"/>
          <w:sz w:val="32"/>
          <w:szCs w:val="32"/>
        </w:rPr>
        <w:t> </w:t>
      </w: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24" w:lineRule="atLeast"/>
        <w:jc w:val="left"/>
        <w:rPr>
          <w:rFonts w:hint="eastAsia" w:ascii="仿宋" w:hAnsi="微软雅黑" w:eastAsia="仿宋" w:cs="宋体"/>
          <w:kern w:val="0"/>
          <w:sz w:val="32"/>
          <w:szCs w:val="32"/>
        </w:rPr>
      </w:pPr>
    </w:p>
    <w:p>
      <w:pPr>
        <w:widowControl/>
        <w:spacing w:line="296" w:lineRule="atLeast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第二部分</w:t>
      </w:r>
      <w:r>
        <w:rPr>
          <w:rFonts w:hint="eastAsia" w:ascii="黑体" w:hAnsi="微软雅黑" w:eastAsia="黑体" w:cs="宋体"/>
          <w:kern w:val="0"/>
          <w:sz w:val="32"/>
          <w:szCs w:val="32"/>
          <w:lang w:val="en-US" w:eastAsia="zh-CN"/>
        </w:rPr>
        <w:t>南乐县行政审批和政务信息管理局2022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年度行政执法情况说明</w:t>
      </w:r>
    </w:p>
    <w:p>
      <w:pPr>
        <w:widowControl/>
        <w:spacing w:line="296" w:lineRule="atLeast"/>
        <w:jc w:val="left"/>
        <w:rPr>
          <w:rFonts w:ascii="黑体" w:hAnsi="黑体" w:eastAsia="黑体" w:cs="宋体"/>
          <w:kern w:val="0"/>
          <w:sz w:val="11"/>
          <w:szCs w:val="11"/>
        </w:rPr>
      </w:pPr>
      <w:r>
        <w:rPr>
          <w:rFonts w:hint="eastAsia" w:ascii="仿宋_GB2312" w:hAnsi="微软雅黑" w:eastAsia="仿宋_GB2312" w:cs="宋体"/>
          <w:kern w:val="0"/>
          <w:sz w:val="17"/>
          <w:szCs w:val="17"/>
        </w:rPr>
        <w:t> </w:t>
      </w:r>
      <w:r>
        <w:rPr>
          <w:rFonts w:hint="eastAsia" w:ascii="微软雅黑" w:hAnsi="微软雅黑" w:eastAsia="微软雅黑" w:cs="宋体"/>
          <w:kern w:val="0"/>
          <w:sz w:val="11"/>
          <w:szCs w:val="11"/>
        </w:rPr>
        <w:t xml:space="preserve">            </w:t>
      </w:r>
      <w:r>
        <w:rPr>
          <w:rFonts w:hint="eastAsia" w:ascii="黑体" w:hAnsi="黑体" w:eastAsia="黑体" w:cs="宋体"/>
          <w:kern w:val="0"/>
          <w:sz w:val="32"/>
          <w:szCs w:val="32"/>
        </w:rPr>
        <w:t>一、行政处罚实施情况说明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宗，罚没收入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%，占行政处罚总数的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二、行政许可实施情况说明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年度行政许可申请总数为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9356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宗，予以许可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9356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%，占行政许可申请总数的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三、行政强制实施情况说明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%，占行政强制总数的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四、行政征收实施情况说明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次，征收总金额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%，占行政征收总数的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五、行政检查实施情况说明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%，占行政检查总数的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六、行政裁决实施情况说明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年度行政裁决总数为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次，涉及总金额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七、行政给付实施情况说明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次，给付总金额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元。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%，占行政给付总数的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八、行政确认实施情况说明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480" w:firstLineChars="1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%，占行政确认总数的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九、行政奖励实施情况说明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次。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%，占行政奖励总数的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十、其他行政执法行为实施情况说明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年度其他行政执法行为总数为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宗，占被申请行政复议宗数的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widowControl/>
        <w:spacing w:line="296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本部门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宋体"/>
          <w:kern w:val="0"/>
          <w:sz w:val="32"/>
          <w:szCs w:val="32"/>
        </w:rPr>
        <w:t>%。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2023年1月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038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NzQ1ODhmMDFlZWNjMWJjZDVhYTQxMWQxZjJjMTcifQ=="/>
    <w:docVar w:name="KSO_WPS_MARK_KEY" w:val="19962af1-2606-4123-9045-a238d464d3cb"/>
  </w:docVars>
  <w:rsids>
    <w:rsidRoot w:val="00EA5E5E"/>
    <w:rsid w:val="00005C80"/>
    <w:rsid w:val="0003128E"/>
    <w:rsid w:val="000464FC"/>
    <w:rsid w:val="0006703F"/>
    <w:rsid w:val="00071EB3"/>
    <w:rsid w:val="000967A6"/>
    <w:rsid w:val="000A088B"/>
    <w:rsid w:val="000C1A88"/>
    <w:rsid w:val="000D5032"/>
    <w:rsid w:val="000E6F94"/>
    <w:rsid w:val="000F13CC"/>
    <w:rsid w:val="0012077F"/>
    <w:rsid w:val="00123B31"/>
    <w:rsid w:val="00144AF9"/>
    <w:rsid w:val="00165462"/>
    <w:rsid w:val="001B7CBF"/>
    <w:rsid w:val="001D4135"/>
    <w:rsid w:val="001E1DE0"/>
    <w:rsid w:val="002155B0"/>
    <w:rsid w:val="00252A9E"/>
    <w:rsid w:val="00262581"/>
    <w:rsid w:val="002702B5"/>
    <w:rsid w:val="002825D6"/>
    <w:rsid w:val="00353682"/>
    <w:rsid w:val="00364C88"/>
    <w:rsid w:val="00377D88"/>
    <w:rsid w:val="00384D85"/>
    <w:rsid w:val="003928B9"/>
    <w:rsid w:val="003A5CCD"/>
    <w:rsid w:val="00415ECE"/>
    <w:rsid w:val="0046228A"/>
    <w:rsid w:val="004B1917"/>
    <w:rsid w:val="004C151B"/>
    <w:rsid w:val="004E1D8D"/>
    <w:rsid w:val="005268A6"/>
    <w:rsid w:val="00553D72"/>
    <w:rsid w:val="00557DBD"/>
    <w:rsid w:val="00566FAC"/>
    <w:rsid w:val="005B5651"/>
    <w:rsid w:val="005D3E1A"/>
    <w:rsid w:val="005E02D3"/>
    <w:rsid w:val="0060144D"/>
    <w:rsid w:val="00606CEF"/>
    <w:rsid w:val="00643F6E"/>
    <w:rsid w:val="00644F8A"/>
    <w:rsid w:val="006D1A89"/>
    <w:rsid w:val="00724137"/>
    <w:rsid w:val="007468B7"/>
    <w:rsid w:val="007B3044"/>
    <w:rsid w:val="0084633D"/>
    <w:rsid w:val="00872F6A"/>
    <w:rsid w:val="008C2746"/>
    <w:rsid w:val="00912269"/>
    <w:rsid w:val="00917A0D"/>
    <w:rsid w:val="0093489A"/>
    <w:rsid w:val="00934A27"/>
    <w:rsid w:val="00967FB6"/>
    <w:rsid w:val="00987CFF"/>
    <w:rsid w:val="00990DEE"/>
    <w:rsid w:val="00A476E5"/>
    <w:rsid w:val="00A5740F"/>
    <w:rsid w:val="00A935C9"/>
    <w:rsid w:val="00AE3BBF"/>
    <w:rsid w:val="00B531D2"/>
    <w:rsid w:val="00B57FA0"/>
    <w:rsid w:val="00B70A22"/>
    <w:rsid w:val="00B75096"/>
    <w:rsid w:val="00B76FED"/>
    <w:rsid w:val="00B9136D"/>
    <w:rsid w:val="00BB531F"/>
    <w:rsid w:val="00BB74F9"/>
    <w:rsid w:val="00C01C12"/>
    <w:rsid w:val="00C55959"/>
    <w:rsid w:val="00CC1D39"/>
    <w:rsid w:val="00CC7CB6"/>
    <w:rsid w:val="00CF0230"/>
    <w:rsid w:val="00CF5467"/>
    <w:rsid w:val="00D011CD"/>
    <w:rsid w:val="00D3123F"/>
    <w:rsid w:val="00D62B67"/>
    <w:rsid w:val="00D71A1F"/>
    <w:rsid w:val="00D97845"/>
    <w:rsid w:val="00E1278D"/>
    <w:rsid w:val="00E25E63"/>
    <w:rsid w:val="00E4005C"/>
    <w:rsid w:val="00E47141"/>
    <w:rsid w:val="00E90163"/>
    <w:rsid w:val="00EA5E5E"/>
    <w:rsid w:val="00EF5F39"/>
    <w:rsid w:val="00EF748B"/>
    <w:rsid w:val="00F27F80"/>
    <w:rsid w:val="00F74EA4"/>
    <w:rsid w:val="00F81956"/>
    <w:rsid w:val="00FB35C7"/>
    <w:rsid w:val="00FB6658"/>
    <w:rsid w:val="00FC6827"/>
    <w:rsid w:val="00FE19BE"/>
    <w:rsid w:val="00FE7609"/>
    <w:rsid w:val="02315B23"/>
    <w:rsid w:val="21B23AFA"/>
    <w:rsid w:val="2BAB0C7D"/>
    <w:rsid w:val="40754D4D"/>
    <w:rsid w:val="4E175709"/>
    <w:rsid w:val="5F63348B"/>
    <w:rsid w:val="6916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586C7D-3B2D-4F5A-AF00-294D68B49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4441</Words>
  <Characters>4675</Characters>
  <Lines>44</Lines>
  <Paragraphs>12</Paragraphs>
  <TotalTime>5</TotalTime>
  <ScaleCrop>false</ScaleCrop>
  <LinksUpToDate>false</LinksUpToDate>
  <CharactersWithSpaces>4714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2020-08-27T07:37:00Z</dcterms:created>
  <dc:creator>Administrator</dc:creator>
  <cp:lastModifiedBy>上善若水</cp:lastModifiedBy>
  <cp:lastPrinted>2020-08-28T09:36:00Z</cp:lastPrinted>
  <dcterms:modified xsi:type="dcterms:W3CDTF">2023-03-09T01:02:02Z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762489021_btnclosed</vt:lpwstr>
  </property>
  <property fmtid="{D5CDD505-2E9C-101B-9397-08002B2CF9AE}" pid="3" name="KSOProductBuildVer">
    <vt:lpwstr>2052-11.1.0.13703</vt:lpwstr>
  </property>
  <property fmtid="{D5CDD505-2E9C-101B-9397-08002B2CF9AE}" pid="4" name="ICV">
    <vt:lpwstr>C6AA783914E247D79E9988248501238F</vt:lpwstr>
  </property>
</Properties>
</file>