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sz w:val="32"/>
          <w:szCs w:val="32"/>
          <w:lang w:val="en-US" w:eastAsia="en-US"/>
        </w:rPr>
      </w:pPr>
      <w:bookmarkStart w:id="0" w:name="_GoBack"/>
      <w:r>
        <w:rPr>
          <w:rFonts w:hint="eastAsia" w:ascii="黑体" w:hAnsi="黑体" w:eastAsia="黑体" w:cs="黑体"/>
          <w:b w:val="0"/>
          <w:bCs w:val="0"/>
          <w:sz w:val="32"/>
          <w:szCs w:val="32"/>
          <w:lang w:val="en-US" w:eastAsia="en-US"/>
        </w:rPr>
        <w:t>建筑垃圾消纳利用许可服务指南</w:t>
      </w:r>
      <w:bookmarkEnd w:id="0"/>
    </w:p>
    <w:p>
      <w:pPr>
        <w:keepNext w:val="0"/>
        <w:keepLines w:val="0"/>
        <w:pageBreakBefore w:val="0"/>
        <w:widowControl/>
        <w:numPr>
          <w:ilvl w:val="0"/>
          <w:numId w:val="1"/>
        </w:numPr>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黑体" w:hAnsi="黑体" w:eastAsia="黑体" w:cs="黑体"/>
          <w:sz w:val="21"/>
          <w:szCs w:val="21"/>
          <w:lang w:val="en-US" w:eastAsia="en-US"/>
        </w:rPr>
        <w:t>事项</w:t>
      </w:r>
      <w:r>
        <w:rPr>
          <w:rFonts w:hint="eastAsia" w:ascii="黑体" w:hAnsi="黑体" w:eastAsia="黑体" w:cs="黑体"/>
          <w:sz w:val="21"/>
          <w:szCs w:val="21"/>
          <w:lang w:val="en-US" w:eastAsia="zh-CN"/>
        </w:rPr>
        <w:t>名称：</w:t>
      </w:r>
      <w:r>
        <w:rPr>
          <w:rFonts w:hint="eastAsia" w:ascii="宋体" w:hAnsi="宋体" w:eastAsia="宋体" w:cs="宋体"/>
          <w:sz w:val="21"/>
          <w:szCs w:val="21"/>
          <w:lang w:val="en-US" w:eastAsia="zh-CN"/>
        </w:rPr>
        <w:t>建筑垃圾消纳利用许可</w:t>
      </w:r>
    </w:p>
    <w:p>
      <w:pPr>
        <w:keepNext w:val="0"/>
        <w:keepLines w:val="0"/>
        <w:pageBreakBefore w:val="0"/>
        <w:widowControl/>
        <w:numPr>
          <w:numId w:val="0"/>
        </w:numPr>
        <w:kinsoku/>
        <w:wordWrap/>
        <w:overflowPunct/>
        <w:topLinePunct w:val="0"/>
        <w:autoSpaceDE/>
        <w:autoSpaceDN/>
        <w:bidi w:val="0"/>
        <w:adjustRightInd/>
        <w:snapToGrid/>
        <w:textAlignment w:val="auto"/>
        <w:rPr>
          <w:rFonts w:hint="eastAsia" w:ascii="黑体" w:hAnsi="黑体" w:eastAsia="黑体" w:cs="黑体"/>
          <w:sz w:val="21"/>
          <w:szCs w:val="21"/>
          <w:lang w:val="en-US" w:eastAsia="en-US"/>
        </w:rPr>
      </w:pPr>
      <w:r>
        <w:rPr>
          <w:rFonts w:hint="eastAsia" w:ascii="黑体" w:hAnsi="黑体" w:eastAsia="黑体" w:cs="黑体"/>
          <w:sz w:val="21"/>
          <w:szCs w:val="21"/>
          <w:lang w:val="en-US" w:eastAsia="zh-CN"/>
        </w:rPr>
        <w:t>二</w:t>
      </w:r>
      <w:r>
        <w:rPr>
          <w:rFonts w:hint="eastAsia" w:ascii="黑体" w:hAnsi="黑体" w:eastAsia="黑体" w:cs="黑体"/>
          <w:sz w:val="21"/>
          <w:szCs w:val="21"/>
          <w:lang w:val="en-US" w:eastAsia="en-US"/>
        </w:rPr>
        <w:t>、事项类型</w:t>
      </w:r>
      <w:r>
        <w:rPr>
          <w:rFonts w:hint="eastAsia" w:ascii="黑体" w:hAnsi="黑体" w:eastAsia="黑体" w:cs="黑体"/>
          <w:sz w:val="21"/>
          <w:szCs w:val="21"/>
          <w:lang w:val="en-US" w:eastAsia="zh-CN"/>
        </w:rPr>
        <w:t>：</w:t>
      </w:r>
      <w:r>
        <w:rPr>
          <w:rFonts w:hint="eastAsia" w:ascii="宋体" w:hAnsi="宋体" w:eastAsia="宋体" w:cs="宋体"/>
          <w:sz w:val="21"/>
          <w:szCs w:val="21"/>
          <w:lang w:val="en-US" w:eastAsia="en-US"/>
        </w:rPr>
        <w:t>行政许可</w:t>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三</w:t>
      </w:r>
      <w:r>
        <w:rPr>
          <w:rFonts w:hint="eastAsia" w:ascii="黑体" w:hAnsi="黑体" w:eastAsia="黑体" w:cs="黑体"/>
          <w:sz w:val="21"/>
          <w:szCs w:val="21"/>
          <w:lang w:val="en-US" w:eastAsia="en-US"/>
        </w:rPr>
        <w:t>、设立依据</w:t>
      </w:r>
      <w:r>
        <w:rPr>
          <w:rFonts w:hint="eastAsia" w:ascii="黑体" w:hAnsi="黑体" w:eastAsia="黑体" w:cs="黑体"/>
          <w:sz w:val="21"/>
          <w:szCs w:val="21"/>
          <w:lang w:val="en-US" w:eastAsia="zh-CN"/>
        </w:rPr>
        <w:t>：</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《国务院对确需保留的行政审批项目设定行政许可的决定》（2004年6月29日国务院令第412号，2009年1月29日予以修改）附件第101项：城市建筑垃圾处置核准，实施机关：城市人民政府市容环境卫生行政主管部门。</w:t>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四</w:t>
      </w:r>
      <w:r>
        <w:rPr>
          <w:rFonts w:hint="eastAsia" w:ascii="黑体" w:hAnsi="黑体" w:eastAsia="黑体" w:cs="黑体"/>
          <w:sz w:val="21"/>
          <w:szCs w:val="21"/>
          <w:lang w:val="en-US" w:eastAsia="en-US"/>
        </w:rPr>
        <w:t>、办理条件</w:t>
      </w:r>
      <w:r>
        <w:rPr>
          <w:rFonts w:hint="eastAsia" w:ascii="黑体" w:hAnsi="黑体" w:eastAsia="黑体" w:cs="黑体"/>
          <w:sz w:val="21"/>
          <w:szCs w:val="21"/>
          <w:lang w:val="en-US" w:eastAsia="zh-CN"/>
        </w:rPr>
        <w:t>：</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4.1.提交书面申请（包括建筑垃圾运输的时间、路线和处置地点名称、施工单位与运输单位签订的合同、建筑垃圾消纳场的土地用途证明）；</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4.2.有消纳场的场地平面图、进场路线图、具有相应的摊铺、碾压、除尘、照明等机械和设备，有排水、消防等设施，有健全的环境卫生和安全管理制度并得到有效执行；</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4.3.具有建筑垃圾分类处置的方案和对废混凝土、金属、木材等回收利用的方案；</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4.4.具有合法的道路运输经营许可证、车辆行驶证；</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4.5.具有健全的运输车辆运营、安全、质量、保养、行政管理制度并得到有效执行；</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4.6.运输车辆具备全密闭运输机械装置或密闭苫盖装置、安装行驶及装卸记录仪和相应的建筑垃圾分类运输设备。</w:t>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五</w:t>
      </w:r>
      <w:r>
        <w:rPr>
          <w:rFonts w:hint="eastAsia" w:ascii="黑体" w:hAnsi="黑体" w:eastAsia="黑体" w:cs="黑体"/>
          <w:sz w:val="21"/>
          <w:szCs w:val="21"/>
          <w:lang w:val="en-US" w:eastAsia="en-US"/>
        </w:rPr>
        <w:t>、申办材料</w:t>
      </w:r>
      <w:r>
        <w:rPr>
          <w:rFonts w:hint="eastAsia" w:ascii="黑体" w:hAnsi="黑体" w:eastAsia="黑体" w:cs="黑体"/>
          <w:sz w:val="21"/>
          <w:szCs w:val="21"/>
          <w:lang w:val="en-US" w:eastAsia="zh-CN"/>
        </w:rPr>
        <w:t>：</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申办材料应符合以下要求：</w:t>
      </w:r>
    </w:p>
    <w:tbl>
      <w:tblPr>
        <w:tblStyle w:val="3"/>
        <w:tblpPr w:leftFromText="180" w:rightFromText="180" w:vertAnchor="text" w:horzAnchor="page" w:tblpX="1702" w:tblpY="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3"/>
        <w:gridCol w:w="2391"/>
        <w:gridCol w:w="1216"/>
        <w:gridCol w:w="595"/>
        <w:gridCol w:w="1228"/>
        <w:gridCol w:w="2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序号</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提交材料名称</w:t>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原件/复印件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份数</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纸质/电子版</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特定要求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zh-CN"/>
              </w:rPr>
            </w:pPr>
            <w:r>
              <w:rPr>
                <w:rFonts w:hint="eastAsia" w:ascii="PingFang SC" w:hAnsi="PingFang SC" w:eastAsia="PingFang SC" w:cs="PingFang SC"/>
                <w:i w:val="0"/>
                <w:iCs w:val="0"/>
                <w:caps w:val="0"/>
                <w:color w:val="000000"/>
                <w:spacing w:val="0"/>
                <w:sz w:val="21"/>
                <w:szCs w:val="21"/>
              </w:rPr>
              <w:t>场地使用权佐证材料</w:t>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zh-CN"/>
              </w:rPr>
              <w:t>复印</w:t>
            </w:r>
            <w:r>
              <w:rPr>
                <w:rFonts w:hint="eastAsia" w:ascii="宋体" w:hAnsi="宋体" w:eastAsia="宋体" w:cs="宋体"/>
                <w:sz w:val="18"/>
                <w:szCs w:val="18"/>
                <w:lang w:val="en-US" w:eastAsia="en-US"/>
              </w:rPr>
              <w:t>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材料齐全，真实有效。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2</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PingFang SC" w:hAnsi="PingFang SC" w:eastAsia="PingFang SC" w:cs="PingFang SC"/>
                <w:i w:val="0"/>
                <w:iCs w:val="0"/>
                <w:caps w:val="0"/>
                <w:color w:val="000000"/>
                <w:spacing w:val="0"/>
                <w:sz w:val="21"/>
                <w:szCs w:val="21"/>
              </w:rPr>
            </w:pPr>
            <w:r>
              <w:rPr>
                <w:rFonts w:hint="eastAsia" w:ascii="PingFang SC" w:hAnsi="PingFang SC" w:eastAsia="PingFang SC" w:cs="PingFang SC"/>
                <w:i w:val="0"/>
                <w:iCs w:val="0"/>
                <w:caps w:val="0"/>
                <w:color w:val="000000"/>
                <w:spacing w:val="0"/>
                <w:sz w:val="21"/>
                <w:szCs w:val="21"/>
              </w:rPr>
              <w:t>建筑垃圾分类处置的方案和对废弃混凝土、金属、木材等回收利用的方案</w:t>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zh-CN"/>
              </w:rPr>
              <w:t>原</w:t>
            </w:r>
            <w:r>
              <w:rPr>
                <w:rFonts w:hint="eastAsia" w:ascii="宋体" w:hAnsi="宋体" w:eastAsia="宋体" w:cs="宋体"/>
                <w:sz w:val="18"/>
                <w:szCs w:val="18"/>
                <w:lang w:val="en-US" w:eastAsia="en-US"/>
              </w:rPr>
              <w:t>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材料齐全，真实有效。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3</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PingFang SC" w:hAnsi="PingFang SC" w:eastAsia="PingFang SC" w:cs="PingFang SC"/>
                <w:i w:val="0"/>
                <w:iCs w:val="0"/>
                <w:caps w:val="0"/>
                <w:color w:val="000000"/>
                <w:spacing w:val="0"/>
                <w:sz w:val="21"/>
                <w:szCs w:val="21"/>
              </w:rPr>
            </w:pPr>
            <w:r>
              <w:rPr>
                <w:rFonts w:hint="eastAsia" w:ascii="PingFang SC" w:hAnsi="PingFang SC" w:eastAsia="PingFang SC" w:cs="PingFang SC"/>
                <w:i w:val="0"/>
                <w:iCs w:val="0"/>
                <w:caps w:val="0"/>
                <w:color w:val="000000"/>
                <w:spacing w:val="0"/>
                <w:sz w:val="21"/>
                <w:szCs w:val="21"/>
              </w:rPr>
              <w:t>建筑垃圾处置场地环境卫生和安全管理制度</w:t>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原件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材料齐全，真实有效。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4</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PingFang SC" w:hAnsi="PingFang SC" w:eastAsia="宋体" w:cs="PingFang SC"/>
                <w:i w:val="0"/>
                <w:iCs w:val="0"/>
                <w:caps w:val="0"/>
                <w:color w:val="000000"/>
                <w:spacing w:val="0"/>
                <w:sz w:val="21"/>
                <w:szCs w:val="21"/>
                <w:lang w:val="en-US" w:eastAsia="zh-CN"/>
              </w:rPr>
            </w:pPr>
            <w:r>
              <w:rPr>
                <w:rFonts w:hint="eastAsia" w:ascii="PingFang SC" w:hAnsi="PingFang SC" w:eastAsia="PingFang SC" w:cs="PingFang SC"/>
                <w:i w:val="0"/>
                <w:iCs w:val="0"/>
                <w:caps w:val="0"/>
                <w:color w:val="000000"/>
                <w:spacing w:val="0"/>
                <w:sz w:val="21"/>
                <w:szCs w:val="21"/>
              </w:rPr>
              <w:t>建筑垃圾处置场地平面图、方位示意图、进场路线图、场内布局图、可</w:t>
            </w:r>
            <w:r>
              <w:rPr>
                <w:rFonts w:hint="eastAsia" w:ascii="PingFang SC" w:hAnsi="PingFang SC" w:eastAsia="宋体" w:cs="PingFang SC"/>
                <w:i w:val="0"/>
                <w:iCs w:val="0"/>
                <w:caps w:val="0"/>
                <w:color w:val="000000"/>
                <w:spacing w:val="0"/>
                <w:sz w:val="21"/>
                <w:szCs w:val="21"/>
                <w:lang w:val="en-US" w:eastAsia="zh-CN"/>
              </w:rPr>
              <w:t>以受纳的建筑垃圾种类标示图</w:t>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zh-CN"/>
              </w:rPr>
              <w:t>复印</w:t>
            </w:r>
            <w:r>
              <w:rPr>
                <w:rFonts w:hint="eastAsia" w:ascii="宋体" w:hAnsi="宋体" w:eastAsia="宋体" w:cs="宋体"/>
                <w:sz w:val="18"/>
                <w:szCs w:val="18"/>
                <w:lang w:val="en-US" w:eastAsia="en-US"/>
              </w:rPr>
              <w:t>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材料齐全，真实有效。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PingFang SC" w:hAnsi="PingFang SC" w:eastAsia="PingFang SC" w:cs="PingFang SC"/>
                <w:i w:val="0"/>
                <w:iCs w:val="0"/>
                <w:caps w:val="0"/>
                <w:color w:val="000000"/>
                <w:spacing w:val="0"/>
                <w:sz w:val="21"/>
                <w:szCs w:val="21"/>
              </w:rPr>
            </w:pPr>
            <w:r>
              <w:rPr>
                <w:rFonts w:hint="eastAsia" w:ascii="PingFang SC" w:hAnsi="PingFang SC" w:eastAsia="PingFang SC" w:cs="PingFang SC"/>
                <w:i w:val="0"/>
                <w:iCs w:val="0"/>
                <w:caps w:val="0"/>
                <w:color w:val="000000"/>
                <w:spacing w:val="0"/>
                <w:sz w:val="21"/>
                <w:szCs w:val="21"/>
              </w:rPr>
              <w:t>地质灾害危险性评估报告和建筑垃圾消纳场环境影响评价报告书批复件</w:t>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zh-CN"/>
              </w:rPr>
              <w:t>复印</w:t>
            </w:r>
            <w:r>
              <w:rPr>
                <w:rFonts w:hint="eastAsia" w:ascii="宋体" w:hAnsi="宋体" w:eastAsia="宋体" w:cs="宋体"/>
                <w:sz w:val="18"/>
                <w:szCs w:val="18"/>
                <w:lang w:val="en-US" w:eastAsia="en-US"/>
              </w:rPr>
              <w:t>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材料齐全，真实有效。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6</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PingFang SC" w:hAnsi="PingFang SC" w:eastAsia="PingFang SC" w:cs="PingFang SC"/>
                <w:i w:val="0"/>
                <w:iCs w:val="0"/>
                <w:caps w:val="0"/>
                <w:color w:val="000000"/>
                <w:spacing w:val="0"/>
                <w:sz w:val="21"/>
                <w:szCs w:val="21"/>
              </w:rPr>
            </w:pPr>
            <w:r>
              <w:rPr>
                <w:rFonts w:hint="eastAsia" w:ascii="PingFang SC" w:hAnsi="PingFang SC" w:eastAsia="PingFang SC" w:cs="PingFang SC"/>
                <w:i w:val="0"/>
                <w:iCs w:val="0"/>
                <w:caps w:val="0"/>
                <w:color w:val="000000"/>
                <w:spacing w:val="0"/>
                <w:sz w:val="21"/>
                <w:szCs w:val="21"/>
              </w:rPr>
              <w:t>建筑垃圾消纳利用许可的证明材料</w:t>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原件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材料齐全，真实有效。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3"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7</w:t>
            </w:r>
          </w:p>
        </w:tc>
        <w:tc>
          <w:tcPr>
            <w:tcW w:w="2391"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PingFang SC" w:hAnsi="PingFang SC" w:eastAsia="PingFang SC" w:cs="PingFang SC"/>
                <w:i w:val="0"/>
                <w:iCs w:val="0"/>
                <w:caps w:val="0"/>
                <w:color w:val="000000"/>
                <w:spacing w:val="0"/>
                <w:sz w:val="21"/>
                <w:szCs w:val="21"/>
              </w:rPr>
            </w:pPr>
            <w:r>
              <w:rPr>
                <w:rFonts w:hint="eastAsia" w:ascii="PingFang SC" w:hAnsi="PingFang SC" w:eastAsia="PingFang SC" w:cs="PingFang SC"/>
                <w:i w:val="0"/>
                <w:iCs w:val="0"/>
                <w:caps w:val="0"/>
                <w:color w:val="000000"/>
                <w:spacing w:val="0"/>
                <w:sz w:val="21"/>
                <w:szCs w:val="21"/>
              </w:rPr>
              <w:t>建筑垃圾处置核准（消纳利用）申请表</w:t>
            </w:r>
            <w:r>
              <w:rPr>
                <w:rFonts w:hint="eastAsia" w:ascii="PingFang SC" w:hAnsi="PingFang SC" w:eastAsia="PingFang SC" w:cs="PingFang SC"/>
                <w:i w:val="0"/>
                <w:iCs w:val="0"/>
                <w:caps w:val="0"/>
                <w:color w:val="000000"/>
                <w:spacing w:val="0"/>
                <w:sz w:val="21"/>
                <w:szCs w:val="21"/>
              </w:rPr>
              <w:tab/>
            </w:r>
          </w:p>
        </w:tc>
        <w:tc>
          <w:tcPr>
            <w:tcW w:w="121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原件</w:t>
            </w:r>
          </w:p>
        </w:tc>
        <w:tc>
          <w:tcPr>
            <w:tcW w:w="595"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2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09"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材料齐全，真实有效。</w:t>
            </w:r>
          </w:p>
        </w:tc>
      </w:tr>
    </w:tbl>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六</w:t>
      </w:r>
      <w:r>
        <w:rPr>
          <w:rFonts w:hint="eastAsia" w:ascii="黑体" w:hAnsi="黑体" w:eastAsia="黑体" w:cs="黑体"/>
          <w:sz w:val="21"/>
          <w:szCs w:val="21"/>
          <w:lang w:val="en-US" w:eastAsia="en-US"/>
        </w:rPr>
        <w:t>、办理时限</w:t>
      </w:r>
      <w:r>
        <w:rPr>
          <w:rFonts w:hint="eastAsia" w:ascii="黑体" w:hAnsi="黑体" w:eastAsia="黑体" w:cs="黑体"/>
          <w:sz w:val="21"/>
          <w:szCs w:val="21"/>
          <w:lang w:val="en-US" w:eastAsia="zh-CN"/>
        </w:rPr>
        <w:t>：</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法定时限</w:t>
      </w:r>
      <w:r>
        <w:rPr>
          <w:rFonts w:hint="eastAsia" w:ascii="宋体" w:hAnsi="宋体" w:eastAsia="宋体" w:cs="宋体"/>
          <w:sz w:val="21"/>
          <w:szCs w:val="21"/>
          <w:lang w:val="en-US" w:eastAsia="zh-CN"/>
        </w:rPr>
        <w:t>：</w:t>
      </w:r>
      <w:r>
        <w:rPr>
          <w:rFonts w:hint="eastAsia" w:ascii="宋体" w:hAnsi="宋体" w:eastAsia="宋体" w:cs="宋体"/>
          <w:sz w:val="21"/>
          <w:szCs w:val="21"/>
          <w:lang w:val="en-US" w:eastAsia="en-US"/>
        </w:rPr>
        <w:t>20</w:t>
      </w:r>
      <w:r>
        <w:rPr>
          <w:rFonts w:hint="eastAsia" w:ascii="宋体" w:hAnsi="宋体" w:eastAsia="宋体" w:cs="宋体"/>
          <w:sz w:val="21"/>
          <w:szCs w:val="21"/>
          <w:lang w:val="en-US" w:eastAsia="zh-CN"/>
        </w:rPr>
        <w:t>个工</w:t>
      </w:r>
      <w:r>
        <w:rPr>
          <w:rFonts w:hint="eastAsia" w:ascii="宋体" w:hAnsi="宋体" w:eastAsia="宋体" w:cs="宋体"/>
          <w:sz w:val="21"/>
          <w:szCs w:val="21"/>
          <w:lang w:val="en-US" w:eastAsia="en-US"/>
        </w:rPr>
        <w:t>作日。</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承诺时限</w:t>
      </w:r>
      <w:r>
        <w:rPr>
          <w:rFonts w:hint="eastAsia" w:ascii="宋体" w:hAnsi="宋体" w:eastAsia="宋体" w:cs="宋体"/>
          <w:sz w:val="21"/>
          <w:szCs w:val="21"/>
          <w:lang w:val="en-US" w:eastAsia="zh-CN"/>
        </w:rPr>
        <w:t>：1</w:t>
      </w:r>
      <w:r>
        <w:rPr>
          <w:rFonts w:hint="eastAsia" w:ascii="宋体" w:hAnsi="宋体" w:eastAsia="宋体" w:cs="宋体"/>
          <w:sz w:val="21"/>
          <w:szCs w:val="21"/>
          <w:lang w:val="en-US" w:eastAsia="en-US"/>
        </w:rPr>
        <w:t>个工作日。</w:t>
      </w:r>
    </w:p>
    <w:p>
      <w:pPr>
        <w:keepNext w:val="0"/>
        <w:keepLines w:val="0"/>
        <w:pageBreakBefore w:val="0"/>
        <w:widowControl/>
        <w:numPr>
          <w:ilvl w:val="0"/>
          <w:numId w:val="0"/>
        </w:numPr>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七</w:t>
      </w:r>
      <w:r>
        <w:rPr>
          <w:rFonts w:hint="eastAsia" w:ascii="黑体" w:hAnsi="黑体" w:eastAsia="黑体" w:cs="黑体"/>
          <w:sz w:val="21"/>
          <w:szCs w:val="21"/>
          <w:lang w:val="en-US" w:eastAsia="en-US"/>
        </w:rPr>
        <w:t>、</w:t>
      </w:r>
      <w:r>
        <w:rPr>
          <w:rFonts w:hint="eastAsia" w:ascii="黑体" w:hAnsi="黑体" w:eastAsia="黑体" w:cs="黑体"/>
          <w:sz w:val="21"/>
          <w:szCs w:val="21"/>
          <w:lang w:val="en-US" w:eastAsia="zh-CN"/>
        </w:rPr>
        <w:t>受理方式：</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窗口受理：南乐县大数据二楼29号窗口 </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网上申报：河南政务服务网（</w:t>
      </w:r>
      <w:r>
        <w:rPr>
          <w:rFonts w:hint="eastAsia" w:ascii="宋体" w:hAnsi="宋体" w:eastAsia="宋体" w:cs="宋体"/>
          <w:sz w:val="21"/>
          <w:szCs w:val="21"/>
          <w:lang w:val="en-US" w:eastAsia="en-US"/>
        </w:rPr>
        <w:fldChar w:fldCharType="begin"/>
      </w:r>
      <w:r>
        <w:rPr>
          <w:rFonts w:hint="eastAsia" w:ascii="宋体" w:hAnsi="宋体" w:eastAsia="宋体" w:cs="宋体"/>
          <w:sz w:val="21"/>
          <w:szCs w:val="21"/>
          <w:lang w:val="en-US" w:eastAsia="en-US"/>
        </w:rPr>
        <w:instrText xml:space="preserve"> HYPERLINK "http://www.hnzwfw.gov.cn/" </w:instrText>
      </w:r>
      <w:r>
        <w:rPr>
          <w:rFonts w:hint="eastAsia" w:ascii="宋体" w:hAnsi="宋体" w:eastAsia="宋体" w:cs="宋体"/>
          <w:sz w:val="21"/>
          <w:szCs w:val="21"/>
          <w:lang w:val="en-US" w:eastAsia="en-US"/>
        </w:rPr>
        <w:fldChar w:fldCharType="separate"/>
      </w:r>
      <w:r>
        <w:rPr>
          <w:rFonts w:hint="eastAsia" w:ascii="宋体" w:hAnsi="宋体" w:eastAsia="宋体" w:cs="宋体"/>
          <w:sz w:val="21"/>
          <w:szCs w:val="21"/>
          <w:lang w:val="en-US" w:eastAsia="en-US"/>
        </w:rPr>
        <w:t>http://www.hnzwfw.gov.cn</w:t>
      </w:r>
      <w:r>
        <w:rPr>
          <w:rFonts w:hint="eastAsia" w:ascii="宋体" w:hAnsi="宋体" w:eastAsia="宋体" w:cs="宋体"/>
          <w:sz w:val="21"/>
          <w:szCs w:val="21"/>
          <w:lang w:val="en-US" w:eastAsia="en-US"/>
        </w:rPr>
        <w:fldChar w:fldCharType="end"/>
      </w:r>
      <w:r>
        <w:rPr>
          <w:rFonts w:hint="eastAsia" w:ascii="宋体" w:hAnsi="宋体" w:eastAsia="宋体" w:cs="宋体"/>
          <w:sz w:val="21"/>
          <w:szCs w:val="21"/>
          <w:lang w:val="en-US" w:eastAsia="zh-CN"/>
        </w:rPr>
        <w:t>）按照提示进行网上申报</w:t>
      </w:r>
    </w:p>
    <w:p>
      <w:pPr>
        <w:keepNext w:val="0"/>
        <w:keepLines w:val="0"/>
        <w:pageBreakBefore w:val="0"/>
        <w:widowControl/>
        <w:numPr>
          <w:ilvl w:val="0"/>
          <w:numId w:val="0"/>
        </w:numPr>
        <w:kinsoku/>
        <w:wordWrap/>
        <w:overflowPunct/>
        <w:topLinePunct w:val="0"/>
        <w:autoSpaceDE/>
        <w:autoSpaceDN/>
        <w:bidi w:val="0"/>
        <w:adjustRightInd/>
        <w:snapToGrid/>
        <w:ind w:firstLine="3150" w:firstLineChars="15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手机APP：（二维码图片） </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pPr>
      <w:r>
        <w:rPr>
          <w:rFonts w:hint="eastAsia" w:eastAsia="宋体"/>
          <w:lang w:val="en-US" w:eastAsia="zh-CN"/>
        </w:rPr>
        <w:t xml:space="preserve">                       </w:t>
      </w:r>
      <w:r>
        <w:rPr>
          <w:rFonts w:hint="eastAsia" w:eastAsia="宋体"/>
          <w:lang w:val="en-US" w:eastAsia="zh-CN"/>
        </w:rPr>
        <w:drawing>
          <wp:inline distT="0" distB="0" distL="114300" distR="114300">
            <wp:extent cx="805815" cy="815340"/>
            <wp:effectExtent l="0" t="0" r="13335" b="3810"/>
            <wp:docPr id="17" name="图片 17" descr="e2399894150360d6e851c8f7b2f17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e2399894150360d6e851c8f7b2f17c9"/>
                    <pic:cNvPicPr>
                      <a:picLocks noChangeAspect="1"/>
                    </pic:cNvPicPr>
                  </pic:nvPicPr>
                  <pic:blipFill>
                    <a:blip r:embed="rId4"/>
                    <a:stretch>
                      <a:fillRect/>
                    </a:stretch>
                  </pic:blipFill>
                  <pic:spPr>
                    <a:xfrm>
                      <a:off x="0" y="0"/>
                      <a:ext cx="805815" cy="815340"/>
                    </a:xfrm>
                    <a:prstGeom prst="rect">
                      <a:avLst/>
                    </a:prstGeom>
                  </pic:spPr>
                </pic:pic>
              </a:graphicData>
            </a:graphic>
          </wp:inline>
        </w:drawing>
      </w:r>
      <w:r>
        <w:rPr>
          <w:rFonts w:hint="eastAsia" w:eastAsia="宋体"/>
          <w:lang w:val="en-US" w:eastAsia="zh-CN"/>
        </w:rPr>
        <w:t xml:space="preserve">     </w:t>
      </w:r>
      <w:r>
        <w:drawing>
          <wp:inline distT="0" distB="0" distL="114300" distR="114300">
            <wp:extent cx="803275" cy="813435"/>
            <wp:effectExtent l="0" t="0" r="15875" b="57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5"/>
                    <a:stretch>
                      <a:fillRect/>
                    </a:stretch>
                  </pic:blipFill>
                  <pic:spPr>
                    <a:xfrm>
                      <a:off x="0" y="0"/>
                      <a:ext cx="803275" cy="813435"/>
                    </a:xfrm>
                    <a:prstGeom prst="rect">
                      <a:avLst/>
                    </a:prstGeom>
                    <a:noFill/>
                    <a:ln>
                      <a:noFill/>
                    </a:ln>
                  </pic:spPr>
                </pic:pic>
              </a:graphicData>
            </a:graphic>
          </wp:inline>
        </w:drawing>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rPr>
          <w:rFonts w:hint="default"/>
          <w:lang w:val="en-US" w:eastAsia="zh-CN"/>
        </w:rPr>
      </w:pPr>
      <w:r>
        <w:rPr>
          <w:rFonts w:hint="eastAsia"/>
          <w:lang w:val="en-US" w:eastAsia="zh-CN"/>
        </w:rPr>
        <w:t xml:space="preserve">                       </w:t>
      </w:r>
      <w:r>
        <w:rPr>
          <w:rFonts w:hint="eastAsia" w:ascii="宋体" w:hAnsi="宋体" w:eastAsia="宋体" w:cs="宋体"/>
          <w:sz w:val="21"/>
          <w:szCs w:val="21"/>
          <w:lang w:val="en-US" w:eastAsia="zh-CN"/>
        </w:rPr>
        <w:t xml:space="preserve">微信公众号        豫事办APP </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黑体" w:hAnsi="黑体" w:eastAsia="黑体" w:cs="黑体"/>
          <w:sz w:val="21"/>
          <w:szCs w:val="21"/>
          <w:lang w:val="en-US" w:eastAsia="zh-CN"/>
        </w:rPr>
        <w:t>八</w:t>
      </w:r>
      <w:r>
        <w:rPr>
          <w:rFonts w:hint="eastAsia" w:ascii="黑体" w:hAnsi="黑体" w:eastAsia="黑体" w:cs="黑体"/>
          <w:sz w:val="21"/>
          <w:szCs w:val="21"/>
          <w:lang w:val="en-US" w:eastAsia="en-US"/>
        </w:rPr>
        <w:t>、</w:t>
      </w:r>
      <w:r>
        <w:rPr>
          <w:rFonts w:hint="eastAsia" w:ascii="黑体" w:hAnsi="黑体" w:eastAsia="黑体" w:cs="黑体"/>
          <w:b w:val="0"/>
          <w:bCs w:val="0"/>
          <w:sz w:val="21"/>
          <w:szCs w:val="21"/>
          <w:lang w:val="en-US" w:eastAsia="en-US"/>
        </w:rPr>
        <w:t>收费依</w:t>
      </w:r>
      <w:r>
        <w:rPr>
          <w:rFonts w:hint="eastAsia" w:ascii="黑体" w:hAnsi="黑体" w:eastAsia="黑体" w:cs="黑体"/>
          <w:sz w:val="21"/>
          <w:szCs w:val="21"/>
          <w:lang w:val="en-US" w:eastAsia="en-US"/>
        </w:rPr>
        <w:t>据及标准</w:t>
      </w:r>
      <w:r>
        <w:rPr>
          <w:rFonts w:hint="eastAsia" w:ascii="黑体" w:hAnsi="黑体" w:eastAsia="黑体" w:cs="黑体"/>
          <w:sz w:val="21"/>
          <w:szCs w:val="21"/>
          <w:lang w:val="en-US" w:eastAsia="zh-CN"/>
        </w:rPr>
        <w:t>：</w:t>
      </w:r>
      <w:r>
        <w:rPr>
          <w:rFonts w:hint="eastAsia" w:ascii="宋体" w:hAnsi="宋体" w:eastAsia="宋体" w:cs="宋体"/>
          <w:sz w:val="21"/>
          <w:szCs w:val="21"/>
          <w:lang w:val="en-US" w:eastAsia="zh-CN"/>
        </w:rPr>
        <w:t>不收费</w:t>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九</w:t>
      </w:r>
      <w:r>
        <w:rPr>
          <w:rFonts w:hint="eastAsia" w:ascii="黑体" w:hAnsi="黑体" w:eastAsia="黑体" w:cs="黑体"/>
          <w:sz w:val="21"/>
          <w:szCs w:val="21"/>
          <w:lang w:val="en-US" w:eastAsia="en-US"/>
        </w:rPr>
        <w:t>、咨询方式</w:t>
      </w:r>
      <w:r>
        <w:rPr>
          <w:rFonts w:hint="eastAsia" w:ascii="黑体" w:hAnsi="黑体" w:eastAsia="黑体" w:cs="黑体"/>
          <w:sz w:val="21"/>
          <w:szCs w:val="21"/>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en-US"/>
        </w:rPr>
        <w:t>现场咨询</w:t>
      </w:r>
      <w:r>
        <w:rPr>
          <w:rFonts w:hint="eastAsia" w:ascii="宋体" w:hAnsi="宋体" w:eastAsia="宋体" w:cs="宋体"/>
          <w:sz w:val="21"/>
          <w:szCs w:val="21"/>
          <w:lang w:val="en-US" w:eastAsia="zh-CN"/>
        </w:rPr>
        <w:t>：南乐县大数据二楼29号窗口</w:t>
      </w:r>
    </w:p>
    <w:p>
      <w:pPr>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en-US"/>
        </w:rPr>
        <w:t>电话咨询</w:t>
      </w:r>
      <w:r>
        <w:rPr>
          <w:rFonts w:hint="eastAsia" w:ascii="宋体" w:hAnsi="宋体" w:eastAsia="宋体" w:cs="宋体"/>
          <w:sz w:val="21"/>
          <w:szCs w:val="21"/>
          <w:lang w:val="en-US" w:eastAsia="zh-CN"/>
        </w:rPr>
        <w:t>：0393-6255081</w:t>
      </w:r>
    </w:p>
    <w:p>
      <w:pPr>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en-US"/>
        </w:rPr>
        <w:t>网上咨询</w:t>
      </w:r>
      <w:r>
        <w:rPr>
          <w:rFonts w:hint="eastAsia" w:ascii="宋体" w:hAnsi="宋体" w:eastAsia="宋体" w:cs="宋体"/>
          <w:sz w:val="21"/>
          <w:szCs w:val="21"/>
          <w:lang w:val="en-US" w:eastAsia="zh-CN"/>
        </w:rPr>
        <w:t>：</w:t>
      </w:r>
      <w:r>
        <w:rPr>
          <w:rFonts w:hint="eastAsia" w:ascii="宋体" w:hAnsi="宋体" w:eastAsia="宋体" w:cs="宋体"/>
          <w:sz w:val="21"/>
          <w:szCs w:val="21"/>
          <w:lang w:val="en-US" w:eastAsia="en-US"/>
        </w:rPr>
        <w:fldChar w:fldCharType="begin"/>
      </w:r>
      <w:r>
        <w:rPr>
          <w:rFonts w:hint="eastAsia" w:ascii="宋体" w:hAnsi="宋体" w:eastAsia="宋体" w:cs="宋体"/>
          <w:sz w:val="21"/>
          <w:szCs w:val="21"/>
          <w:lang w:val="en-US" w:eastAsia="en-US"/>
        </w:rPr>
        <w:instrText xml:space="preserve"> HYPERLINK "http://www.hnzwfw.gov.cn/" </w:instrText>
      </w:r>
      <w:r>
        <w:rPr>
          <w:rFonts w:hint="eastAsia" w:ascii="宋体" w:hAnsi="宋体" w:eastAsia="宋体" w:cs="宋体"/>
          <w:sz w:val="21"/>
          <w:szCs w:val="21"/>
          <w:lang w:val="en-US" w:eastAsia="en-US"/>
        </w:rPr>
        <w:fldChar w:fldCharType="separate"/>
      </w:r>
      <w:r>
        <w:rPr>
          <w:rFonts w:hint="eastAsia" w:ascii="宋体" w:hAnsi="宋体" w:eastAsia="宋体" w:cs="宋体"/>
          <w:sz w:val="21"/>
          <w:szCs w:val="21"/>
          <w:lang w:val="en-US" w:eastAsia="en-US"/>
        </w:rPr>
        <w:t>http://www.hnzwfw.gov.cn</w:t>
      </w:r>
      <w:r>
        <w:rPr>
          <w:rFonts w:hint="eastAsia" w:ascii="宋体" w:hAnsi="宋体" w:eastAsia="宋体" w:cs="宋体"/>
          <w:sz w:val="21"/>
          <w:szCs w:val="21"/>
          <w:lang w:val="en-US" w:eastAsia="en-US"/>
        </w:rPr>
        <w:fldChar w:fldCharType="end"/>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十</w:t>
      </w:r>
      <w:r>
        <w:rPr>
          <w:rFonts w:hint="eastAsia" w:ascii="黑体" w:hAnsi="黑体" w:eastAsia="黑体" w:cs="黑体"/>
          <w:sz w:val="21"/>
          <w:szCs w:val="21"/>
          <w:lang w:val="en-US" w:eastAsia="en-US"/>
        </w:rPr>
        <w:t>、</w:t>
      </w:r>
      <w:r>
        <w:rPr>
          <w:rFonts w:hint="eastAsia" w:ascii="黑体" w:hAnsi="黑体" w:eastAsia="黑体" w:cs="黑体"/>
          <w:sz w:val="21"/>
          <w:szCs w:val="21"/>
          <w:lang w:val="en-US" w:eastAsia="zh-CN"/>
        </w:rPr>
        <w:t>监督投诉渠道：</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现场监督投诉：南乐县政务服务到大厅效能督查股</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zh-CN"/>
        </w:rPr>
        <w:t>电话监督投诉：0393-8712345</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网上监督投诉：</w:t>
      </w:r>
      <w:r>
        <w:rPr>
          <w:rFonts w:hint="eastAsia" w:ascii="宋体" w:hAnsi="宋体" w:eastAsia="宋体" w:cs="宋体"/>
          <w:sz w:val="21"/>
          <w:szCs w:val="21"/>
          <w:lang w:val="en-US" w:eastAsia="en-US"/>
        </w:rPr>
        <w:fldChar w:fldCharType="begin"/>
      </w:r>
      <w:r>
        <w:rPr>
          <w:rFonts w:hint="eastAsia" w:ascii="宋体" w:hAnsi="宋体" w:eastAsia="宋体" w:cs="宋体"/>
          <w:sz w:val="21"/>
          <w:szCs w:val="21"/>
          <w:lang w:val="en-US" w:eastAsia="en-US"/>
        </w:rPr>
        <w:instrText xml:space="preserve"> HYPERLINK "http://www.hnzwfw.gov.cn/" </w:instrText>
      </w:r>
      <w:r>
        <w:rPr>
          <w:rFonts w:hint="eastAsia" w:ascii="宋体" w:hAnsi="宋体" w:eastAsia="宋体" w:cs="宋体"/>
          <w:sz w:val="21"/>
          <w:szCs w:val="21"/>
          <w:lang w:val="en-US" w:eastAsia="en-US"/>
        </w:rPr>
        <w:fldChar w:fldCharType="separate"/>
      </w:r>
      <w:r>
        <w:rPr>
          <w:rFonts w:hint="eastAsia" w:ascii="宋体" w:hAnsi="宋体" w:eastAsia="宋体" w:cs="宋体"/>
          <w:sz w:val="21"/>
          <w:szCs w:val="21"/>
          <w:lang w:val="en-US" w:eastAsia="en-US"/>
        </w:rPr>
        <w:t>http://www.hnzwfw.gov.cn</w:t>
      </w:r>
      <w:r>
        <w:rPr>
          <w:rFonts w:hint="eastAsia" w:ascii="宋体" w:hAnsi="宋体" w:eastAsia="宋体" w:cs="宋体"/>
          <w:sz w:val="21"/>
          <w:szCs w:val="21"/>
          <w:lang w:val="en-US" w:eastAsia="en-US"/>
        </w:rPr>
        <w:fldChar w:fldCharType="end"/>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十一</w:t>
      </w:r>
      <w:r>
        <w:rPr>
          <w:rFonts w:hint="eastAsia" w:ascii="黑体" w:hAnsi="黑体" w:eastAsia="黑体" w:cs="黑体"/>
          <w:sz w:val="21"/>
          <w:szCs w:val="21"/>
          <w:lang w:val="en-US" w:eastAsia="en-US"/>
        </w:rPr>
        <w:t>、</w:t>
      </w:r>
      <w:r>
        <w:rPr>
          <w:rFonts w:hint="eastAsia" w:ascii="黑体" w:hAnsi="黑体" w:eastAsia="黑体" w:cs="黑体"/>
          <w:sz w:val="21"/>
          <w:szCs w:val="21"/>
          <w:lang w:val="en-US" w:eastAsia="zh-CN"/>
        </w:rPr>
        <w:t xml:space="preserve">办理地址和时间： </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办理地址：南乐县一行路与木伦河路交叉口北侧路东 </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办理时间：周一至周五，法定节假日除外。</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zh-CN"/>
        </w:rPr>
        <w:t>夏季 上午8：00-12：00 下午 3：00-6：30 ；冬季 上午8：00-12：00 下午 2：30-6：00。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E38332"/>
    <w:multiLevelType w:val="singleLevel"/>
    <w:tmpl w:val="12E38332"/>
    <w:lvl w:ilvl="0" w:tentative="0">
      <w:start w:val="1"/>
      <w:numFmt w:val="chineseCounting"/>
      <w:suff w:val="nothing"/>
      <w:lvlText w:val="%1、"/>
      <w:lvlJc w:val="left"/>
      <w:rPr>
        <w:rFonts w:hint="eastAsia" w:ascii="黑体" w:hAnsi="黑体" w:eastAsia="黑体" w:cs="黑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DA1AA7"/>
    <w:rsid w:val="30DA1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2021-06-21T03:36:00Z</dcterms:created>
  <dc:creator>猫有九条命却只有一颗心</dc:creator>
  <cp:lastModifiedBy>猫有九条命却只有一颗心</cp:lastModifiedBy>
  <dcterms:modified xsi:type="dcterms:W3CDTF">2021-06-21T07:23:07Z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E5865D3FBCC14E4AA0AFDF266229CE53</vt:lpwstr>
  </property>
</Properties>
</file>