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jc w:val="center"/>
        <w:textAlignment w:val="auto"/>
        <w:rPr>
          <w:rFonts w:hint="eastAsia" w:ascii="黑体" w:hAnsi="黑体" w:eastAsia="黑体" w:cs="黑体"/>
          <w:sz w:val="32"/>
          <w:szCs w:val="32"/>
          <w:lang w:val="en-US" w:eastAsia="en-US"/>
        </w:rPr>
      </w:pPr>
      <w:r>
        <w:rPr>
          <w:rFonts w:hint="eastAsia" w:ascii="黑体" w:hAnsi="黑体" w:eastAsia="黑体" w:cs="黑体"/>
          <w:sz w:val="32"/>
          <w:szCs w:val="32"/>
          <w:lang w:val="en-US" w:eastAsia="en-US"/>
        </w:rPr>
        <w:t>关闭、闲置、拆除城市环卫设施许可服务指南</w:t>
      </w: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en-US"/>
        </w:rPr>
      </w:pPr>
    </w:p>
    <w:p>
      <w:pPr>
        <w:keepNext w:val="0"/>
        <w:keepLines w:val="0"/>
        <w:pageBreakBefore w:val="0"/>
        <w:widowControl/>
        <w:numPr>
          <w:ilvl w:val="0"/>
          <w:numId w:val="1"/>
        </w:numPr>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en-US"/>
        </w:rPr>
        <w:t>事项</w:t>
      </w:r>
      <w:r>
        <w:rPr>
          <w:rFonts w:hint="eastAsia" w:ascii="黑体" w:hAnsi="黑体" w:eastAsia="黑体" w:cs="黑体"/>
          <w:sz w:val="21"/>
          <w:szCs w:val="21"/>
          <w:lang w:val="en-US" w:eastAsia="zh-CN"/>
        </w:rPr>
        <w:t>名称：关闭、闲置、拆除城市环卫设施许可</w:t>
      </w:r>
    </w:p>
    <w:p>
      <w:pPr>
        <w:keepNext w:val="0"/>
        <w:keepLines w:val="0"/>
        <w:pageBreakBefore w:val="0"/>
        <w:widowControl/>
        <w:numPr>
          <w:ilvl w:val="0"/>
          <w:numId w:val="0"/>
        </w:numPr>
        <w:kinsoku/>
        <w:wordWrap/>
        <w:overflowPunct/>
        <w:topLinePunct w:val="0"/>
        <w:autoSpaceDE/>
        <w:autoSpaceDN/>
        <w:bidi w:val="0"/>
        <w:adjustRightInd/>
        <w:snapToGrid/>
        <w:textAlignment w:val="auto"/>
        <w:rPr>
          <w:rFonts w:hint="eastAsia" w:ascii="宋体" w:hAnsi="宋体" w:eastAsia="宋体" w:cs="宋体"/>
          <w:sz w:val="21"/>
          <w:szCs w:val="21"/>
          <w:lang w:val="en-US" w:eastAsia="en-US"/>
        </w:rPr>
      </w:pPr>
      <w:r>
        <w:rPr>
          <w:rFonts w:hint="eastAsia" w:ascii="黑体" w:hAnsi="黑体" w:eastAsia="黑体" w:cs="黑体"/>
          <w:sz w:val="21"/>
          <w:szCs w:val="21"/>
          <w:lang w:val="en-US" w:eastAsia="zh-CN"/>
        </w:rPr>
        <w:t>二</w:t>
      </w:r>
      <w:r>
        <w:rPr>
          <w:rFonts w:hint="eastAsia" w:ascii="黑体" w:hAnsi="黑体" w:eastAsia="黑体" w:cs="黑体"/>
          <w:sz w:val="21"/>
          <w:szCs w:val="21"/>
          <w:lang w:val="en-US" w:eastAsia="en-US"/>
        </w:rPr>
        <w:t>、事项类型</w:t>
      </w:r>
      <w:r>
        <w:rPr>
          <w:rFonts w:hint="eastAsia" w:ascii="黑体" w:hAnsi="黑体" w:eastAsia="黑体" w:cs="黑体"/>
          <w:sz w:val="21"/>
          <w:szCs w:val="21"/>
          <w:lang w:val="en-US" w:eastAsia="zh-CN"/>
        </w:rPr>
        <w:t>：</w:t>
      </w:r>
      <w:r>
        <w:rPr>
          <w:rFonts w:hint="eastAsia" w:ascii="宋体" w:hAnsi="宋体" w:eastAsia="宋体" w:cs="宋体"/>
          <w:sz w:val="21"/>
          <w:szCs w:val="21"/>
          <w:lang w:val="en-US" w:eastAsia="en-US"/>
        </w:rPr>
        <w:t>行政许可</w:t>
      </w:r>
    </w:p>
    <w:p>
      <w:pPr>
        <w:keepNext w:val="0"/>
        <w:keepLines w:val="0"/>
        <w:pageBreakBefore w:val="0"/>
        <w:widowControl/>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三</w:t>
      </w:r>
      <w:r>
        <w:rPr>
          <w:rFonts w:hint="eastAsia" w:ascii="黑体" w:hAnsi="黑体" w:eastAsia="黑体" w:cs="黑体"/>
          <w:sz w:val="21"/>
          <w:szCs w:val="21"/>
          <w:lang w:val="en-US" w:eastAsia="en-US"/>
        </w:rPr>
        <w:t>、设立依据</w:t>
      </w:r>
      <w:r>
        <w:rPr>
          <w:rFonts w:hint="eastAsia" w:ascii="黑体" w:hAnsi="黑体" w:eastAsia="黑体" w:cs="黑体"/>
          <w:sz w:val="21"/>
          <w:szCs w:val="21"/>
          <w:lang w:val="en-US" w:eastAsia="zh-CN"/>
        </w:rPr>
        <w:t>：</w:t>
      </w:r>
    </w:p>
    <w:p>
      <w:pPr>
        <w:keepNext w:val="0"/>
        <w:keepLines w:val="0"/>
        <w:pageBreakBefore w:val="0"/>
        <w:widowControl/>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中华人民共和国固体废物污染环境防治法》第四十四条：建设生活垃圾处置的设施、场所，必须符合国务院环境保护行政主管部门和国务院建设行政主管部门规定的环境保护和环境卫生标准。禁止擅自关闭、闲置或者拆除生活垃圾处置的设施、场所；确有必要关闭、闲置或者拆除的，必须经所在地的市、县级人民政府环境卫生行政主管部门商所在地环境保护行政主管部门同意后核准，并采取措施，防止污染环境。</w:t>
      </w:r>
    </w:p>
    <w:p>
      <w:pPr>
        <w:keepNext w:val="0"/>
        <w:keepLines w:val="0"/>
        <w:pageBreakBefore w:val="0"/>
        <w:widowControl/>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《城市市容和环境卫生管理条例》第二十二条：一切单位和个人都不得擅自拆除环境卫生设施；因建设需要必须拆除的，建设单位必须事先提出拆迁方案，报城市人民政府市容环境卫生行政主管部门批准。</w:t>
      </w:r>
    </w:p>
    <w:p>
      <w:pPr>
        <w:keepNext w:val="0"/>
        <w:keepLines w:val="0"/>
        <w:pageBreakBefore w:val="0"/>
        <w:widowControl/>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四</w:t>
      </w:r>
      <w:r>
        <w:rPr>
          <w:rFonts w:hint="eastAsia" w:ascii="黑体" w:hAnsi="黑体" w:eastAsia="黑体" w:cs="黑体"/>
          <w:sz w:val="21"/>
          <w:szCs w:val="21"/>
          <w:lang w:val="en-US" w:eastAsia="en-US"/>
        </w:rPr>
        <w:t>、办理条件</w:t>
      </w:r>
      <w:r>
        <w:rPr>
          <w:rFonts w:hint="eastAsia" w:ascii="黑体" w:hAnsi="黑体" w:eastAsia="黑体" w:cs="黑体"/>
          <w:sz w:val="21"/>
          <w:szCs w:val="21"/>
          <w:lang w:val="en-US" w:eastAsia="zh-CN"/>
        </w:rPr>
        <w:t>：</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zh-CN"/>
        </w:rPr>
        <w:t>4.1关闭、闲置、拆除城市环卫设施许可</w:t>
      </w:r>
      <w:r>
        <w:rPr>
          <w:rFonts w:hint="eastAsia" w:ascii="宋体" w:hAnsi="宋体" w:eastAsia="宋体" w:cs="宋体"/>
          <w:sz w:val="21"/>
          <w:szCs w:val="21"/>
          <w:lang w:val="en-US" w:eastAsia="en-US"/>
        </w:rPr>
        <w:t>的使用单位具有合法的身份（法人出示登记证件）；</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zh-CN"/>
        </w:rPr>
        <w:t>4.2关闭、闲置、拆除城市环卫设施许可</w:t>
      </w:r>
      <w:r>
        <w:rPr>
          <w:rFonts w:hint="eastAsia" w:ascii="宋体" w:hAnsi="宋体" w:eastAsia="宋体" w:cs="宋体"/>
          <w:sz w:val="21"/>
          <w:szCs w:val="21"/>
          <w:lang w:val="en-US" w:eastAsia="en-US"/>
        </w:rPr>
        <w:t>必须符合国务院环境保护行政主管部门和国务院建设行政主管部门规定的环境保护和环境卫生标准。；</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zh-CN"/>
        </w:rPr>
        <w:t>4.3.关闭、闲置、拆除城市环卫设施许可，采取防止污染环境的措施；</w:t>
      </w:r>
    </w:p>
    <w:p>
      <w:pPr>
        <w:keepNext w:val="0"/>
        <w:keepLines w:val="0"/>
        <w:pageBreakBefore w:val="0"/>
        <w:widowControl/>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五</w:t>
      </w:r>
      <w:r>
        <w:rPr>
          <w:rFonts w:hint="eastAsia" w:ascii="黑体" w:hAnsi="黑体" w:eastAsia="黑体" w:cs="黑体"/>
          <w:sz w:val="21"/>
          <w:szCs w:val="21"/>
          <w:lang w:val="en-US" w:eastAsia="en-US"/>
        </w:rPr>
        <w:t>、申办材料</w:t>
      </w:r>
      <w:r>
        <w:rPr>
          <w:rFonts w:hint="eastAsia" w:ascii="黑体" w:hAnsi="黑体" w:eastAsia="黑体" w:cs="黑体"/>
          <w:sz w:val="21"/>
          <w:szCs w:val="21"/>
          <w:lang w:val="en-US" w:eastAsia="zh-CN"/>
        </w:rPr>
        <w:t>：</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申办材料应符合以下要求：</w:t>
      </w:r>
    </w:p>
    <w:tbl>
      <w:tblPr>
        <w:tblStyle w:val="3"/>
        <w:tblpPr w:leftFromText="180" w:rightFromText="180" w:vertAnchor="text" w:horzAnchor="page" w:tblpX="1702" w:tblpY="4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8"/>
        <w:gridCol w:w="2436"/>
        <w:gridCol w:w="1236"/>
        <w:gridCol w:w="600"/>
        <w:gridCol w:w="1248"/>
        <w:gridCol w:w="2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88"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序号</w:t>
            </w:r>
          </w:p>
        </w:tc>
        <w:tc>
          <w:tcPr>
            <w:tcW w:w="243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提交材料名称</w:t>
            </w:r>
          </w:p>
        </w:tc>
        <w:tc>
          <w:tcPr>
            <w:tcW w:w="123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原件/复印件</w:t>
            </w:r>
          </w:p>
        </w:tc>
        <w:tc>
          <w:tcPr>
            <w:tcW w:w="600"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份数</w:t>
            </w:r>
          </w:p>
        </w:tc>
        <w:tc>
          <w:tcPr>
            <w:tcW w:w="1248"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纸质/电子版</w:t>
            </w:r>
          </w:p>
        </w:tc>
        <w:tc>
          <w:tcPr>
            <w:tcW w:w="255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特定要求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88"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243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关闭、闲置、拆除城市环卫设施许可申请表</w:t>
            </w:r>
          </w:p>
        </w:tc>
        <w:tc>
          <w:tcPr>
            <w:tcW w:w="123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原件</w:t>
            </w:r>
          </w:p>
        </w:tc>
        <w:tc>
          <w:tcPr>
            <w:tcW w:w="600"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1248"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纸质</w:t>
            </w:r>
          </w:p>
        </w:tc>
        <w:tc>
          <w:tcPr>
            <w:tcW w:w="255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宋体" w:eastAsia="宋体" w:cs="宋体"/>
                <w:sz w:val="18"/>
                <w:szCs w:val="18"/>
                <w:lang w:val="en-US" w:eastAsia="zh-CN"/>
              </w:rPr>
            </w:pPr>
            <w:r>
              <w:rPr>
                <w:rFonts w:hint="default" w:ascii="宋体" w:hAnsi="宋体" w:eastAsia="宋体" w:cs="宋体"/>
                <w:sz w:val="18"/>
                <w:szCs w:val="18"/>
                <w:lang w:val="en-US" w:eastAsia="zh-CN"/>
              </w:rPr>
              <w:t>1、需在系统上传jpg格式图片或pdf格式文件； 2、准备申报资料复印件是为了供现场核查用以及城市管理监管部门建立监管档案用。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88"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w:t>
            </w:r>
          </w:p>
        </w:tc>
        <w:tc>
          <w:tcPr>
            <w:tcW w:w="243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城市环卫设施拆除方案</w:t>
            </w:r>
          </w:p>
        </w:tc>
        <w:tc>
          <w:tcPr>
            <w:tcW w:w="123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原件</w:t>
            </w:r>
          </w:p>
        </w:tc>
        <w:tc>
          <w:tcPr>
            <w:tcW w:w="600"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1</w:t>
            </w:r>
          </w:p>
        </w:tc>
        <w:tc>
          <w:tcPr>
            <w:tcW w:w="1248"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纸质</w:t>
            </w:r>
          </w:p>
        </w:tc>
        <w:tc>
          <w:tcPr>
            <w:tcW w:w="255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zh-CN"/>
              </w:rPr>
            </w:pPr>
            <w:r>
              <w:rPr>
                <w:rFonts w:hint="default" w:ascii="宋体" w:hAnsi="宋体" w:eastAsia="宋体" w:cs="宋体"/>
                <w:sz w:val="18"/>
                <w:szCs w:val="18"/>
                <w:lang w:val="en-US" w:eastAsia="zh-CN"/>
              </w:rPr>
              <w:t>1、需在系统上传jpg格式图片或pdf格式文件； 2、准备申报资料复印件是为了供现场核查用以及城市管理监管部门建立监管档案用。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588"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w:t>
            </w:r>
          </w:p>
        </w:tc>
        <w:tc>
          <w:tcPr>
            <w:tcW w:w="243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中华人民共和国建设工程规划许可证</w:t>
            </w:r>
          </w:p>
        </w:tc>
        <w:tc>
          <w:tcPr>
            <w:tcW w:w="123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zh-CN"/>
              </w:rPr>
              <w:t>原</w:t>
            </w:r>
            <w:r>
              <w:rPr>
                <w:rFonts w:hint="eastAsia" w:ascii="宋体" w:hAnsi="宋体" w:eastAsia="宋体" w:cs="宋体"/>
                <w:sz w:val="18"/>
                <w:szCs w:val="18"/>
                <w:lang w:val="en-US" w:eastAsia="en-US"/>
              </w:rPr>
              <w:t>件</w:t>
            </w:r>
          </w:p>
        </w:tc>
        <w:tc>
          <w:tcPr>
            <w:tcW w:w="600"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1</w:t>
            </w:r>
          </w:p>
        </w:tc>
        <w:tc>
          <w:tcPr>
            <w:tcW w:w="1248"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eastAsia" w:ascii="宋体" w:hAnsi="宋体" w:eastAsia="宋体" w:cs="宋体"/>
                <w:sz w:val="18"/>
                <w:szCs w:val="18"/>
                <w:lang w:val="en-US" w:eastAsia="en-US"/>
              </w:rPr>
              <w:t>纸质</w:t>
            </w:r>
          </w:p>
        </w:tc>
        <w:tc>
          <w:tcPr>
            <w:tcW w:w="2556" w:type="dxa"/>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宋体" w:eastAsia="宋体" w:cs="宋体"/>
                <w:sz w:val="18"/>
                <w:szCs w:val="18"/>
                <w:lang w:val="en-US" w:eastAsia="en-US"/>
              </w:rPr>
            </w:pPr>
            <w:r>
              <w:rPr>
                <w:rFonts w:hint="default" w:ascii="宋体" w:hAnsi="宋体" w:eastAsia="宋体" w:cs="宋体"/>
                <w:sz w:val="18"/>
                <w:szCs w:val="18"/>
                <w:lang w:val="en-US" w:eastAsia="zh-CN"/>
              </w:rPr>
              <w:t>1、需在系统上传jpg格式图片或pdf格式文</w:t>
            </w:r>
            <w:bookmarkStart w:id="0" w:name="_GoBack"/>
            <w:bookmarkEnd w:id="0"/>
            <w:r>
              <w:rPr>
                <w:rFonts w:hint="default" w:ascii="宋体" w:hAnsi="宋体" w:eastAsia="宋体" w:cs="宋体"/>
                <w:sz w:val="18"/>
                <w:szCs w:val="18"/>
                <w:lang w:val="en-US" w:eastAsia="zh-CN"/>
              </w:rPr>
              <w:t>件； 2、准备申报资料复印件是为了供现场核查用以及城市管理监管部门建立监管档案用。</w:t>
            </w:r>
          </w:p>
        </w:tc>
      </w:tr>
    </w:tbl>
    <w:p>
      <w:pPr>
        <w:keepNext w:val="0"/>
        <w:keepLines w:val="0"/>
        <w:pageBreakBefore w:val="0"/>
        <w:widowControl/>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六</w:t>
      </w:r>
      <w:r>
        <w:rPr>
          <w:rFonts w:hint="eastAsia" w:ascii="黑体" w:hAnsi="黑体" w:eastAsia="黑体" w:cs="黑体"/>
          <w:sz w:val="21"/>
          <w:szCs w:val="21"/>
          <w:lang w:val="en-US" w:eastAsia="en-US"/>
        </w:rPr>
        <w:t>、办理时限</w:t>
      </w:r>
      <w:r>
        <w:rPr>
          <w:rFonts w:hint="eastAsia" w:ascii="黑体" w:hAnsi="黑体" w:eastAsia="黑体" w:cs="黑体"/>
          <w:sz w:val="21"/>
          <w:szCs w:val="21"/>
          <w:lang w:val="en-US" w:eastAsia="zh-CN"/>
        </w:rPr>
        <w:t>：</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法定时限</w:t>
      </w:r>
      <w:r>
        <w:rPr>
          <w:rFonts w:hint="eastAsia" w:ascii="宋体" w:hAnsi="宋体" w:eastAsia="宋体" w:cs="宋体"/>
          <w:sz w:val="21"/>
          <w:szCs w:val="21"/>
          <w:lang w:val="en-US" w:eastAsia="zh-CN"/>
        </w:rPr>
        <w:t>：</w:t>
      </w:r>
      <w:r>
        <w:rPr>
          <w:rFonts w:hint="eastAsia" w:ascii="宋体" w:hAnsi="宋体" w:eastAsia="宋体" w:cs="宋体"/>
          <w:sz w:val="21"/>
          <w:szCs w:val="21"/>
          <w:lang w:val="en-US" w:eastAsia="en-US"/>
        </w:rPr>
        <w:t>20</w:t>
      </w:r>
      <w:r>
        <w:rPr>
          <w:rFonts w:hint="eastAsia" w:ascii="宋体" w:hAnsi="宋体" w:eastAsia="宋体" w:cs="宋体"/>
          <w:sz w:val="21"/>
          <w:szCs w:val="21"/>
          <w:lang w:val="en-US" w:eastAsia="zh-CN"/>
        </w:rPr>
        <w:t>个工</w:t>
      </w:r>
      <w:r>
        <w:rPr>
          <w:rFonts w:hint="eastAsia" w:ascii="宋体" w:hAnsi="宋体" w:eastAsia="宋体" w:cs="宋体"/>
          <w:sz w:val="21"/>
          <w:szCs w:val="21"/>
          <w:lang w:val="en-US" w:eastAsia="en-US"/>
        </w:rPr>
        <w:t>作日。</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承诺时限</w:t>
      </w:r>
      <w:r>
        <w:rPr>
          <w:rFonts w:hint="eastAsia" w:ascii="宋体" w:hAnsi="宋体" w:eastAsia="宋体" w:cs="宋体"/>
          <w:sz w:val="21"/>
          <w:szCs w:val="21"/>
          <w:lang w:val="en-US" w:eastAsia="zh-CN"/>
        </w:rPr>
        <w:t>：5</w:t>
      </w:r>
      <w:r>
        <w:rPr>
          <w:rFonts w:hint="eastAsia" w:ascii="宋体" w:hAnsi="宋体" w:eastAsia="宋体" w:cs="宋体"/>
          <w:sz w:val="21"/>
          <w:szCs w:val="21"/>
          <w:lang w:val="en-US" w:eastAsia="en-US"/>
        </w:rPr>
        <w:t>个工作日。</w:t>
      </w:r>
    </w:p>
    <w:p>
      <w:pPr>
        <w:keepNext w:val="0"/>
        <w:keepLines w:val="0"/>
        <w:pageBreakBefore w:val="0"/>
        <w:widowControl/>
        <w:numPr>
          <w:ilvl w:val="0"/>
          <w:numId w:val="0"/>
        </w:numPr>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七</w:t>
      </w:r>
      <w:r>
        <w:rPr>
          <w:rFonts w:hint="eastAsia" w:ascii="黑体" w:hAnsi="黑体" w:eastAsia="黑体" w:cs="黑体"/>
          <w:sz w:val="21"/>
          <w:szCs w:val="21"/>
          <w:lang w:val="en-US" w:eastAsia="en-US"/>
        </w:rPr>
        <w:t>、</w:t>
      </w:r>
      <w:r>
        <w:rPr>
          <w:rFonts w:hint="eastAsia" w:ascii="黑体" w:hAnsi="黑体" w:eastAsia="黑体" w:cs="黑体"/>
          <w:sz w:val="21"/>
          <w:szCs w:val="21"/>
          <w:lang w:val="en-US" w:eastAsia="zh-CN"/>
        </w:rPr>
        <w:t>受理方式：</w:t>
      </w:r>
    </w:p>
    <w:p>
      <w:pPr>
        <w:keepNext w:val="0"/>
        <w:keepLines w:val="0"/>
        <w:pageBreakBefore w:val="0"/>
        <w:widowControl/>
        <w:numPr>
          <w:ilvl w:val="0"/>
          <w:numId w:val="0"/>
        </w:numPr>
        <w:kinsoku/>
        <w:wordWrap/>
        <w:overflowPunct/>
        <w:topLinePunct w:val="0"/>
        <w:autoSpaceDE/>
        <w:autoSpaceDN/>
        <w:bidi w:val="0"/>
        <w:adjustRightInd/>
        <w:snapToGrid/>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窗口受理：南乐县大数据二楼29号窗口</w:t>
      </w:r>
    </w:p>
    <w:p>
      <w:pPr>
        <w:keepNext w:val="0"/>
        <w:keepLines w:val="0"/>
        <w:pageBreakBefore w:val="0"/>
        <w:widowControl/>
        <w:numPr>
          <w:ilvl w:val="0"/>
          <w:numId w:val="0"/>
        </w:numPr>
        <w:kinsoku/>
        <w:wordWrap/>
        <w:overflowPunct/>
        <w:topLinePunct w:val="0"/>
        <w:autoSpaceDE/>
        <w:autoSpaceDN/>
        <w:bidi w:val="0"/>
        <w:adjustRightInd/>
        <w:snapToGrid/>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网上申报：河南政务服务网（</w:t>
      </w:r>
      <w:r>
        <w:rPr>
          <w:rFonts w:hint="eastAsia" w:ascii="宋体" w:hAnsi="宋体" w:eastAsia="宋体" w:cs="宋体"/>
          <w:sz w:val="21"/>
          <w:szCs w:val="21"/>
          <w:lang w:val="en-US" w:eastAsia="en-US"/>
        </w:rPr>
        <w:fldChar w:fldCharType="begin"/>
      </w:r>
      <w:r>
        <w:rPr>
          <w:rFonts w:hint="eastAsia" w:ascii="宋体" w:hAnsi="宋体" w:eastAsia="宋体" w:cs="宋体"/>
          <w:sz w:val="21"/>
          <w:szCs w:val="21"/>
          <w:lang w:val="en-US" w:eastAsia="en-US"/>
        </w:rPr>
        <w:instrText xml:space="preserve"> HYPERLINK "http://www.hnzwfw.gov.cn/" </w:instrText>
      </w:r>
      <w:r>
        <w:rPr>
          <w:rFonts w:hint="eastAsia" w:ascii="宋体" w:hAnsi="宋体" w:eastAsia="宋体" w:cs="宋体"/>
          <w:sz w:val="21"/>
          <w:szCs w:val="21"/>
          <w:lang w:val="en-US" w:eastAsia="en-US"/>
        </w:rPr>
        <w:fldChar w:fldCharType="separate"/>
      </w:r>
      <w:r>
        <w:rPr>
          <w:rFonts w:hint="eastAsia" w:ascii="宋体" w:hAnsi="宋体" w:eastAsia="宋体" w:cs="宋体"/>
          <w:sz w:val="21"/>
          <w:szCs w:val="21"/>
          <w:lang w:val="en-US" w:eastAsia="en-US"/>
        </w:rPr>
        <w:t>http://www.hnzwfw.gov.cn</w:t>
      </w:r>
      <w:r>
        <w:rPr>
          <w:rFonts w:hint="eastAsia" w:ascii="宋体" w:hAnsi="宋体" w:eastAsia="宋体" w:cs="宋体"/>
          <w:sz w:val="21"/>
          <w:szCs w:val="21"/>
          <w:lang w:val="en-US" w:eastAsia="en-US"/>
        </w:rPr>
        <w:fldChar w:fldCharType="end"/>
      </w:r>
      <w:r>
        <w:rPr>
          <w:rFonts w:hint="eastAsia" w:ascii="宋体" w:hAnsi="宋体" w:eastAsia="宋体" w:cs="宋体"/>
          <w:sz w:val="21"/>
          <w:szCs w:val="21"/>
          <w:lang w:val="en-US" w:eastAsia="zh-CN"/>
        </w:rPr>
        <w:t xml:space="preserve">）按照提示进行网上申报 </w:t>
      </w:r>
    </w:p>
    <w:p>
      <w:pPr>
        <w:keepNext w:val="0"/>
        <w:keepLines w:val="0"/>
        <w:pageBreakBefore w:val="0"/>
        <w:widowControl/>
        <w:numPr>
          <w:ilvl w:val="0"/>
          <w:numId w:val="0"/>
        </w:numPr>
        <w:kinsoku/>
        <w:wordWrap/>
        <w:overflowPunct/>
        <w:topLinePunct w:val="0"/>
        <w:autoSpaceDE/>
        <w:autoSpaceDN/>
        <w:bidi w:val="0"/>
        <w:adjustRightInd/>
        <w:snapToGrid/>
        <w:ind w:firstLine="1260" w:firstLineChars="6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手机APP：（二维码图片）</w:t>
      </w:r>
    </w:p>
    <w:p>
      <w:pPr>
        <w:keepNext w:val="0"/>
        <w:keepLines w:val="0"/>
        <w:pageBreakBefore w:val="0"/>
        <w:widowControl/>
        <w:numPr>
          <w:ilvl w:val="0"/>
          <w:numId w:val="0"/>
        </w:numPr>
        <w:kinsoku/>
        <w:wordWrap/>
        <w:overflowPunct/>
        <w:topLinePunct w:val="0"/>
        <w:autoSpaceDE/>
        <w:autoSpaceDN/>
        <w:bidi w:val="0"/>
        <w:adjustRightInd/>
        <w:snapToGrid/>
        <w:ind w:firstLine="420"/>
        <w:textAlignment w:val="auto"/>
      </w:pPr>
      <w:r>
        <w:rPr>
          <w:rFonts w:hint="eastAsia" w:eastAsia="宋体"/>
          <w:lang w:val="en-US" w:eastAsia="zh-CN"/>
        </w:rPr>
        <w:t xml:space="preserve">      </w:t>
      </w:r>
      <w:r>
        <w:rPr>
          <w:rFonts w:hint="eastAsia" w:eastAsia="宋体"/>
          <w:lang w:val="en-US" w:eastAsia="zh-CN"/>
        </w:rPr>
        <w:drawing>
          <wp:inline distT="0" distB="0" distL="114300" distR="114300">
            <wp:extent cx="805815" cy="815340"/>
            <wp:effectExtent l="0" t="0" r="13335" b="3810"/>
            <wp:docPr id="17" name="图片 17" descr="e2399894150360d6e851c8f7b2f17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e2399894150360d6e851c8f7b2f17c9"/>
                    <pic:cNvPicPr>
                      <a:picLocks noChangeAspect="1"/>
                    </pic:cNvPicPr>
                  </pic:nvPicPr>
                  <pic:blipFill>
                    <a:blip r:embed="rId4"/>
                    <a:stretch>
                      <a:fillRect/>
                    </a:stretch>
                  </pic:blipFill>
                  <pic:spPr>
                    <a:xfrm>
                      <a:off x="0" y="0"/>
                      <a:ext cx="805815" cy="815340"/>
                    </a:xfrm>
                    <a:prstGeom prst="rect">
                      <a:avLst/>
                    </a:prstGeom>
                  </pic:spPr>
                </pic:pic>
              </a:graphicData>
            </a:graphic>
          </wp:inline>
        </w:drawing>
      </w:r>
      <w:r>
        <w:rPr>
          <w:rFonts w:hint="eastAsia" w:eastAsia="宋体"/>
          <w:lang w:val="en-US" w:eastAsia="zh-CN"/>
        </w:rPr>
        <w:t xml:space="preserve">     </w:t>
      </w:r>
      <w:r>
        <w:drawing>
          <wp:inline distT="0" distB="0" distL="114300" distR="114300">
            <wp:extent cx="803275" cy="813435"/>
            <wp:effectExtent l="0" t="0" r="15875" b="571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5"/>
                    <a:stretch>
                      <a:fillRect/>
                    </a:stretch>
                  </pic:blipFill>
                  <pic:spPr>
                    <a:xfrm>
                      <a:off x="0" y="0"/>
                      <a:ext cx="803275" cy="813435"/>
                    </a:xfrm>
                    <a:prstGeom prst="rect">
                      <a:avLst/>
                    </a:prstGeom>
                    <a:noFill/>
                    <a:ln>
                      <a:noFill/>
                    </a:ln>
                  </pic:spPr>
                </pic:pic>
              </a:graphicData>
            </a:graphic>
          </wp:inline>
        </w:drawing>
      </w:r>
    </w:p>
    <w:p>
      <w:pPr>
        <w:keepNext w:val="0"/>
        <w:keepLines w:val="0"/>
        <w:pageBreakBefore w:val="0"/>
        <w:widowControl/>
        <w:numPr>
          <w:ilvl w:val="0"/>
          <w:numId w:val="0"/>
        </w:numPr>
        <w:kinsoku/>
        <w:wordWrap/>
        <w:overflowPunct/>
        <w:topLinePunct w:val="0"/>
        <w:autoSpaceDE/>
        <w:autoSpaceDN/>
        <w:bidi w:val="0"/>
        <w:adjustRightInd/>
        <w:snapToGrid/>
        <w:ind w:firstLine="1140" w:firstLineChars="475"/>
        <w:textAlignment w:val="auto"/>
        <w:rPr>
          <w:rFonts w:hint="default"/>
          <w:lang w:val="en-US" w:eastAsia="zh-CN"/>
        </w:rPr>
      </w:pPr>
      <w:r>
        <w:rPr>
          <w:rFonts w:hint="eastAsia" w:eastAsia="宋体"/>
          <w:lang w:val="en-US" w:eastAsia="zh-CN"/>
        </w:rPr>
        <w:t xml:space="preserve"> </w:t>
      </w:r>
      <w:r>
        <w:rPr>
          <w:rFonts w:hint="eastAsia" w:ascii="宋体" w:hAnsi="宋体" w:eastAsia="宋体" w:cs="宋体"/>
          <w:sz w:val="21"/>
          <w:szCs w:val="21"/>
          <w:lang w:val="en-US" w:eastAsia="zh-CN"/>
        </w:rPr>
        <w:t xml:space="preserve">微信公众号        豫事办APP </w:t>
      </w:r>
    </w:p>
    <w:p>
      <w:pPr>
        <w:keepNext w:val="0"/>
        <w:keepLines w:val="0"/>
        <w:pageBreakBefore w:val="0"/>
        <w:widowControl/>
        <w:numPr>
          <w:ilvl w:val="0"/>
          <w:numId w:val="0"/>
        </w:numPr>
        <w:kinsoku/>
        <w:wordWrap/>
        <w:overflowPunct/>
        <w:topLinePunct w:val="0"/>
        <w:autoSpaceDE/>
        <w:autoSpaceDN/>
        <w:bidi w:val="0"/>
        <w:adjustRightInd/>
        <w:snapToGrid/>
        <w:ind w:firstLine="420"/>
        <w:textAlignment w:val="auto"/>
        <w:rPr>
          <w:rFonts w:hint="eastAsia" w:ascii="宋体" w:hAnsi="宋体" w:eastAsia="宋体" w:cs="宋体"/>
          <w:sz w:val="21"/>
          <w:szCs w:val="21"/>
          <w:lang w:val="en-US" w:eastAsia="zh-CN"/>
        </w:rPr>
      </w:pPr>
    </w:p>
    <w:p>
      <w:pPr>
        <w:keepNext w:val="0"/>
        <w:keepLines w:val="0"/>
        <w:pageBreakBefore w:val="0"/>
        <w:widowControl/>
        <w:kinsoku/>
        <w:wordWrap/>
        <w:overflowPunct/>
        <w:topLinePunct w:val="0"/>
        <w:autoSpaceDE/>
        <w:autoSpaceDN/>
        <w:bidi w:val="0"/>
        <w:adjustRightInd/>
        <w:snapToGrid/>
        <w:textAlignment w:val="auto"/>
        <w:rPr>
          <w:rFonts w:hint="eastAsia" w:ascii="宋体" w:hAnsi="宋体" w:eastAsia="宋体" w:cs="宋体"/>
          <w:sz w:val="21"/>
          <w:szCs w:val="21"/>
          <w:lang w:val="en-US" w:eastAsia="zh-CN"/>
        </w:rPr>
      </w:pPr>
      <w:r>
        <w:rPr>
          <w:rFonts w:hint="eastAsia" w:ascii="黑体" w:hAnsi="黑体" w:eastAsia="黑体" w:cs="黑体"/>
          <w:sz w:val="21"/>
          <w:szCs w:val="21"/>
          <w:lang w:val="en-US" w:eastAsia="zh-CN"/>
        </w:rPr>
        <w:t>八</w:t>
      </w:r>
      <w:r>
        <w:rPr>
          <w:rFonts w:hint="eastAsia" w:ascii="黑体" w:hAnsi="黑体" w:eastAsia="黑体" w:cs="黑体"/>
          <w:sz w:val="21"/>
          <w:szCs w:val="21"/>
          <w:lang w:val="en-US" w:eastAsia="en-US"/>
        </w:rPr>
        <w:t>、</w:t>
      </w:r>
      <w:r>
        <w:rPr>
          <w:rFonts w:hint="eastAsia" w:ascii="黑体" w:hAnsi="黑体" w:eastAsia="黑体" w:cs="黑体"/>
          <w:b w:val="0"/>
          <w:bCs w:val="0"/>
          <w:sz w:val="21"/>
          <w:szCs w:val="21"/>
          <w:lang w:val="en-US" w:eastAsia="en-US"/>
        </w:rPr>
        <w:t>收费依</w:t>
      </w:r>
      <w:r>
        <w:rPr>
          <w:rFonts w:hint="eastAsia" w:ascii="黑体" w:hAnsi="黑体" w:eastAsia="黑体" w:cs="黑体"/>
          <w:sz w:val="21"/>
          <w:szCs w:val="21"/>
          <w:lang w:val="en-US" w:eastAsia="en-US"/>
        </w:rPr>
        <w:t>据及标准</w:t>
      </w:r>
      <w:r>
        <w:rPr>
          <w:rFonts w:hint="eastAsia" w:ascii="黑体" w:hAnsi="黑体" w:eastAsia="黑体" w:cs="黑体"/>
          <w:sz w:val="21"/>
          <w:szCs w:val="21"/>
          <w:lang w:val="en-US" w:eastAsia="zh-CN"/>
        </w:rPr>
        <w:t>：</w:t>
      </w:r>
      <w:r>
        <w:rPr>
          <w:rFonts w:hint="eastAsia" w:ascii="宋体" w:hAnsi="宋体" w:eastAsia="宋体" w:cs="宋体"/>
          <w:sz w:val="21"/>
          <w:szCs w:val="21"/>
          <w:lang w:val="en-US" w:eastAsia="zh-CN"/>
        </w:rPr>
        <w:t>不收费</w:t>
      </w:r>
    </w:p>
    <w:p>
      <w:pPr>
        <w:keepNext w:val="0"/>
        <w:keepLines w:val="0"/>
        <w:pageBreakBefore w:val="0"/>
        <w:widowControl/>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九</w:t>
      </w:r>
      <w:r>
        <w:rPr>
          <w:rFonts w:hint="eastAsia" w:ascii="黑体" w:hAnsi="黑体" w:eastAsia="黑体" w:cs="黑体"/>
          <w:sz w:val="21"/>
          <w:szCs w:val="21"/>
          <w:lang w:val="en-US" w:eastAsia="en-US"/>
        </w:rPr>
        <w:t>、咨询方式</w:t>
      </w:r>
      <w:r>
        <w:rPr>
          <w:rFonts w:hint="eastAsia" w:ascii="黑体" w:hAnsi="黑体" w:eastAsia="黑体" w:cs="黑体"/>
          <w:sz w:val="21"/>
          <w:szCs w:val="21"/>
          <w:lang w:val="en-US" w:eastAsia="zh-CN"/>
        </w:rPr>
        <w:t>：</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现场咨询</w:t>
      </w:r>
      <w:r>
        <w:rPr>
          <w:rFonts w:hint="eastAsia" w:ascii="宋体" w:hAnsi="宋体" w:eastAsia="宋体" w:cs="宋体"/>
          <w:sz w:val="21"/>
          <w:szCs w:val="21"/>
          <w:lang w:val="en-US" w:eastAsia="zh-CN"/>
        </w:rPr>
        <w:t>：南乐县大数据二楼29号窗口</w:t>
      </w:r>
    </w:p>
    <w:p>
      <w:pPr>
        <w:keepNext w:val="0"/>
        <w:keepLines w:val="0"/>
        <w:pageBreakBefore w:val="0"/>
        <w:widowControl/>
        <w:numPr>
          <w:ilvl w:val="0"/>
          <w:numId w:val="0"/>
        </w:numPr>
        <w:kinsoku/>
        <w:wordWrap/>
        <w:overflowPunct/>
        <w:topLinePunct w:val="0"/>
        <w:autoSpaceDE/>
        <w:autoSpaceDN/>
        <w:bidi w:val="0"/>
        <w:adjustRightInd/>
        <w:snapToGrid/>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en-US"/>
        </w:rPr>
        <w:t>电话咨询</w:t>
      </w:r>
      <w:r>
        <w:rPr>
          <w:rFonts w:hint="eastAsia" w:ascii="宋体" w:hAnsi="宋体" w:eastAsia="宋体" w:cs="宋体"/>
          <w:sz w:val="21"/>
          <w:szCs w:val="21"/>
          <w:lang w:val="en-US" w:eastAsia="zh-CN"/>
        </w:rPr>
        <w:t>：0393-6255081</w:t>
      </w:r>
    </w:p>
    <w:p>
      <w:pPr>
        <w:keepNext w:val="0"/>
        <w:keepLines w:val="0"/>
        <w:pageBreakBefore w:val="0"/>
        <w:widowControl/>
        <w:numPr>
          <w:ilvl w:val="0"/>
          <w:numId w:val="0"/>
        </w:numPr>
        <w:kinsoku/>
        <w:wordWrap/>
        <w:overflowPunct/>
        <w:topLinePunct w:val="0"/>
        <w:autoSpaceDE/>
        <w:autoSpaceDN/>
        <w:bidi w:val="0"/>
        <w:adjustRightInd/>
        <w:snapToGrid/>
        <w:ind w:firstLine="420" w:firstLineChars="20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en-US"/>
        </w:rPr>
        <w:t>网上咨询</w:t>
      </w:r>
      <w:r>
        <w:rPr>
          <w:rFonts w:hint="eastAsia" w:ascii="宋体" w:hAnsi="宋体" w:eastAsia="宋体" w:cs="宋体"/>
          <w:sz w:val="21"/>
          <w:szCs w:val="21"/>
          <w:lang w:val="en-US" w:eastAsia="zh-CN"/>
        </w:rPr>
        <w:t>：</w:t>
      </w:r>
      <w:r>
        <w:rPr>
          <w:rFonts w:hint="eastAsia" w:ascii="宋体" w:hAnsi="宋体" w:eastAsia="宋体" w:cs="宋体"/>
          <w:sz w:val="21"/>
          <w:szCs w:val="21"/>
          <w:lang w:val="en-US" w:eastAsia="en-US"/>
        </w:rPr>
        <w:fldChar w:fldCharType="begin"/>
      </w:r>
      <w:r>
        <w:rPr>
          <w:rFonts w:hint="eastAsia" w:ascii="宋体" w:hAnsi="宋体" w:eastAsia="宋体" w:cs="宋体"/>
          <w:sz w:val="21"/>
          <w:szCs w:val="21"/>
          <w:lang w:val="en-US" w:eastAsia="en-US"/>
        </w:rPr>
        <w:instrText xml:space="preserve"> HYPERLINK "http://www.hnzwfw.gov.cn/" </w:instrText>
      </w:r>
      <w:r>
        <w:rPr>
          <w:rFonts w:hint="eastAsia" w:ascii="宋体" w:hAnsi="宋体" w:eastAsia="宋体" w:cs="宋体"/>
          <w:sz w:val="21"/>
          <w:szCs w:val="21"/>
          <w:lang w:val="en-US" w:eastAsia="en-US"/>
        </w:rPr>
        <w:fldChar w:fldCharType="separate"/>
      </w:r>
      <w:r>
        <w:rPr>
          <w:rFonts w:hint="eastAsia" w:ascii="宋体" w:hAnsi="宋体" w:eastAsia="宋体" w:cs="宋体"/>
          <w:sz w:val="21"/>
          <w:szCs w:val="21"/>
          <w:lang w:val="en-US" w:eastAsia="en-US"/>
        </w:rPr>
        <w:t>http://www.hnzwfw.gov.cn</w:t>
      </w:r>
      <w:r>
        <w:rPr>
          <w:rFonts w:hint="eastAsia" w:ascii="宋体" w:hAnsi="宋体" w:eastAsia="宋体" w:cs="宋体"/>
          <w:sz w:val="21"/>
          <w:szCs w:val="21"/>
          <w:lang w:val="en-US" w:eastAsia="en-US"/>
        </w:rPr>
        <w:fldChar w:fldCharType="end"/>
      </w:r>
    </w:p>
    <w:p>
      <w:pPr>
        <w:keepNext w:val="0"/>
        <w:keepLines w:val="0"/>
        <w:pageBreakBefore w:val="0"/>
        <w:widowControl/>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十</w:t>
      </w:r>
      <w:r>
        <w:rPr>
          <w:rFonts w:hint="eastAsia" w:ascii="黑体" w:hAnsi="黑体" w:eastAsia="黑体" w:cs="黑体"/>
          <w:sz w:val="21"/>
          <w:szCs w:val="21"/>
          <w:lang w:val="en-US" w:eastAsia="en-US"/>
        </w:rPr>
        <w:t>、</w:t>
      </w:r>
      <w:r>
        <w:rPr>
          <w:rFonts w:hint="eastAsia" w:ascii="黑体" w:hAnsi="黑体" w:eastAsia="黑体" w:cs="黑体"/>
          <w:sz w:val="21"/>
          <w:szCs w:val="21"/>
          <w:lang w:val="en-US" w:eastAsia="zh-CN"/>
        </w:rPr>
        <w:t>监督投诉渠道：</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现场监督投诉：南乐县政务服务到大厅效能督查股</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电话监督投诉：0393-8712345</w:t>
      </w:r>
    </w:p>
    <w:p>
      <w:pPr>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网上监督投诉：</w:t>
      </w:r>
      <w:r>
        <w:rPr>
          <w:rFonts w:hint="eastAsia" w:ascii="宋体" w:hAnsi="宋体" w:eastAsia="宋体" w:cs="宋体"/>
          <w:sz w:val="21"/>
          <w:szCs w:val="21"/>
          <w:lang w:val="en-US" w:eastAsia="en-US"/>
        </w:rPr>
        <w:fldChar w:fldCharType="begin"/>
      </w:r>
      <w:r>
        <w:rPr>
          <w:rFonts w:hint="eastAsia" w:ascii="宋体" w:hAnsi="宋体" w:eastAsia="宋体" w:cs="宋体"/>
          <w:sz w:val="21"/>
          <w:szCs w:val="21"/>
          <w:lang w:val="en-US" w:eastAsia="en-US"/>
        </w:rPr>
        <w:instrText xml:space="preserve"> HYPERLINK "http://www.hnzwfw.gov.cn/" </w:instrText>
      </w:r>
      <w:r>
        <w:rPr>
          <w:rFonts w:hint="eastAsia" w:ascii="宋体" w:hAnsi="宋体" w:eastAsia="宋体" w:cs="宋体"/>
          <w:sz w:val="21"/>
          <w:szCs w:val="21"/>
          <w:lang w:val="en-US" w:eastAsia="en-US"/>
        </w:rPr>
        <w:fldChar w:fldCharType="separate"/>
      </w:r>
      <w:r>
        <w:rPr>
          <w:rFonts w:hint="eastAsia" w:ascii="宋体" w:hAnsi="宋体" w:eastAsia="宋体" w:cs="宋体"/>
          <w:sz w:val="21"/>
          <w:szCs w:val="21"/>
          <w:lang w:val="en-US" w:eastAsia="en-US"/>
        </w:rPr>
        <w:t>http://www.hnzwfw.gov.cn</w:t>
      </w:r>
      <w:r>
        <w:rPr>
          <w:rFonts w:hint="eastAsia" w:ascii="宋体" w:hAnsi="宋体" w:eastAsia="宋体" w:cs="宋体"/>
          <w:sz w:val="21"/>
          <w:szCs w:val="21"/>
          <w:lang w:val="en-US" w:eastAsia="en-US"/>
        </w:rPr>
        <w:fldChar w:fldCharType="end"/>
      </w:r>
    </w:p>
    <w:p>
      <w:pPr>
        <w:keepNext w:val="0"/>
        <w:keepLines w:val="0"/>
        <w:pageBreakBefore w:val="0"/>
        <w:widowControl/>
        <w:numPr>
          <w:ilvl w:val="0"/>
          <w:numId w:val="0"/>
        </w:numPr>
        <w:kinsoku/>
        <w:wordWrap/>
        <w:overflowPunct/>
        <w:topLinePunct w:val="0"/>
        <w:autoSpaceDE/>
        <w:autoSpaceDN/>
        <w:bidi w:val="0"/>
        <w:adjustRightInd/>
        <w:snapToGrid/>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十一</w:t>
      </w:r>
      <w:r>
        <w:rPr>
          <w:rFonts w:hint="eastAsia" w:ascii="黑体" w:hAnsi="黑体" w:eastAsia="黑体" w:cs="黑体"/>
          <w:sz w:val="21"/>
          <w:szCs w:val="21"/>
          <w:lang w:val="en-US" w:eastAsia="en-US"/>
        </w:rPr>
        <w:t>、</w:t>
      </w:r>
      <w:r>
        <w:rPr>
          <w:rFonts w:hint="eastAsia" w:ascii="黑体" w:hAnsi="黑体" w:eastAsia="黑体" w:cs="黑体"/>
          <w:sz w:val="21"/>
          <w:szCs w:val="21"/>
          <w:lang w:val="en-US" w:eastAsia="zh-CN"/>
        </w:rPr>
        <w:t xml:space="preserve">办理地址和时间： </w:t>
      </w:r>
    </w:p>
    <w:p>
      <w:pPr>
        <w:keepNext w:val="0"/>
        <w:keepLines w:val="0"/>
        <w:pageBreakBefore w:val="0"/>
        <w:widowControl/>
        <w:numPr>
          <w:ilvl w:val="0"/>
          <w:numId w:val="0"/>
        </w:numPr>
        <w:kinsoku/>
        <w:wordWrap/>
        <w:overflowPunct/>
        <w:topLinePunct w:val="0"/>
        <w:autoSpaceDE/>
        <w:autoSpaceDN/>
        <w:bidi w:val="0"/>
        <w:adjustRightInd/>
        <w:snapToGrid/>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办理地址：南乐县一行路与木伦河路交叉口北侧路东</w:t>
      </w:r>
    </w:p>
    <w:p>
      <w:pPr>
        <w:keepNext w:val="0"/>
        <w:keepLines w:val="0"/>
        <w:pageBreakBefore w:val="0"/>
        <w:widowControl/>
        <w:numPr>
          <w:ilvl w:val="0"/>
          <w:numId w:val="0"/>
        </w:numPr>
        <w:kinsoku/>
        <w:wordWrap/>
        <w:overflowPunct/>
        <w:topLinePunct w:val="0"/>
        <w:autoSpaceDE/>
        <w:autoSpaceDN/>
        <w:bidi w:val="0"/>
        <w:adjustRightInd/>
        <w:snapToGrid/>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办理时间：周一至周五，法定节假日除外。</w:t>
      </w:r>
    </w:p>
    <w:p>
      <w:pPr>
        <w:keepNext w:val="0"/>
        <w:keepLines w:val="0"/>
        <w:pageBreakBefore w:val="0"/>
        <w:widowControl/>
        <w:numPr>
          <w:ilvl w:val="0"/>
          <w:numId w:val="0"/>
        </w:numPr>
        <w:kinsoku/>
        <w:wordWrap/>
        <w:overflowPunct/>
        <w:topLinePunct w:val="0"/>
        <w:autoSpaceDE/>
        <w:autoSpaceDN/>
        <w:bidi w:val="0"/>
        <w:adjustRightInd/>
        <w:snapToGrid/>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夏季 上午8：00-12：00 下午 3：00-6：30 ；冬季 上午8：00-12：00 下午 2：30-6：00。</w:t>
      </w:r>
    </w:p>
    <w:p>
      <w:pPr>
        <w:tabs>
          <w:tab w:val="left" w:pos="1297"/>
        </w:tabs>
        <w:bidi w:val="0"/>
        <w:jc w:val="left"/>
        <w:rPr>
          <w:rFonts w:hint="eastAsia" w:eastAsia="宋体"/>
          <w:lang w:val="en-US" w:eastAsia="zh-CN"/>
        </w:rPr>
      </w:pPr>
    </w:p>
    <w:sectPr>
      <w:pgSz w:w="11900" w:h="16820"/>
      <w:pgMar w:top="2098" w:right="1474" w:bottom="1984" w:left="1587" w:header="720" w:footer="720" w:gutter="0"/>
      <w:pgNumType w:start="1"/>
      <w:cols w:space="720" w:num="1"/>
      <w:docGrid w:linePitch="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ingFang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4CDBDE"/>
    <w:multiLevelType w:val="singleLevel"/>
    <w:tmpl w:val="654CDB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balanceSingleByteDoubleByteWidth/>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7B3E"/>
    <w:rsid w:val="00A77B3E"/>
    <w:rsid w:val="00CA2A55"/>
    <w:rsid w:val="076034ED"/>
    <w:rsid w:val="081F6544"/>
    <w:rsid w:val="08C01D75"/>
    <w:rsid w:val="0BA05191"/>
    <w:rsid w:val="0E8011DA"/>
    <w:rsid w:val="103D0369"/>
    <w:rsid w:val="11E41329"/>
    <w:rsid w:val="121E7119"/>
    <w:rsid w:val="13E83A4A"/>
    <w:rsid w:val="18A17CA6"/>
    <w:rsid w:val="1ADC7DD4"/>
    <w:rsid w:val="1B15759B"/>
    <w:rsid w:val="1DB64671"/>
    <w:rsid w:val="1F0B4C10"/>
    <w:rsid w:val="215F5956"/>
    <w:rsid w:val="25C3223D"/>
    <w:rsid w:val="260A3FB4"/>
    <w:rsid w:val="2C4E4B47"/>
    <w:rsid w:val="2D042447"/>
    <w:rsid w:val="2D772C14"/>
    <w:rsid w:val="2F9E2449"/>
    <w:rsid w:val="31EC26D8"/>
    <w:rsid w:val="331614BA"/>
    <w:rsid w:val="33DF0081"/>
    <w:rsid w:val="3A6D40F0"/>
    <w:rsid w:val="3B6D0363"/>
    <w:rsid w:val="3DCB0878"/>
    <w:rsid w:val="3F817CCD"/>
    <w:rsid w:val="3F846E2F"/>
    <w:rsid w:val="4057658D"/>
    <w:rsid w:val="40A77409"/>
    <w:rsid w:val="40DE34B5"/>
    <w:rsid w:val="46326444"/>
    <w:rsid w:val="46E3055B"/>
    <w:rsid w:val="4DC22AB4"/>
    <w:rsid w:val="4EEC2D7B"/>
    <w:rsid w:val="516E6BAB"/>
    <w:rsid w:val="529A3405"/>
    <w:rsid w:val="53355674"/>
    <w:rsid w:val="55DB47EC"/>
    <w:rsid w:val="56BD63F7"/>
    <w:rsid w:val="57C73760"/>
    <w:rsid w:val="59C777DF"/>
    <w:rsid w:val="5A416B38"/>
    <w:rsid w:val="5C905B1A"/>
    <w:rsid w:val="5CB023AF"/>
    <w:rsid w:val="5E555E0C"/>
    <w:rsid w:val="5F9253F1"/>
    <w:rsid w:val="5FAA4F32"/>
    <w:rsid w:val="5FD458C8"/>
    <w:rsid w:val="621B5112"/>
    <w:rsid w:val="63DC1ECC"/>
    <w:rsid w:val="65531986"/>
    <w:rsid w:val="68BA2F72"/>
    <w:rsid w:val="68E22500"/>
    <w:rsid w:val="69736898"/>
    <w:rsid w:val="6A3E306B"/>
    <w:rsid w:val="6A9422AE"/>
    <w:rsid w:val="718842F0"/>
    <w:rsid w:val="71BA3714"/>
    <w:rsid w:val="72A43352"/>
    <w:rsid w:val="75021474"/>
    <w:rsid w:val="75FE27BD"/>
    <w:rsid w:val="767E75E8"/>
    <w:rsid w:val="77293439"/>
    <w:rsid w:val="775D1BB9"/>
    <w:rsid w:val="77737074"/>
    <w:rsid w:val="79ED60D8"/>
    <w:rsid w:val="7AF34BD8"/>
    <w:rsid w:val="7C8C6022"/>
    <w:rsid w:val="7DCB1CF3"/>
    <w:rsid w:val="7E9E2343"/>
    <w:rsid w:val="7F431E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en-US"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Pages>1</Pages>
  <Words>0</Words>
  <Characters>0</Characters>
  <Lines>1</Lines>
  <Paragraphs>1</Paragraphs>
  <TotalTime>2</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2020-02-25T01:24:00Z</dcterms:created>
  <dc:creator>00</dc:creator>
  <cp:lastModifiedBy>猫有九条命却只有一颗心</cp:lastModifiedBy>
  <cp:lastPrinted>2021-06-21T01:57:14Z</cp:lastPrinted>
  <dcterms:modified xsi:type="dcterms:W3CDTF">2021-06-21T01:58:05Z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E63F6593AFAE417890D69D4648C5689A</vt:lpwstr>
  </property>
</Properties>
</file>