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sz w:val="32"/>
          <w:szCs w:val="32"/>
          <w:lang w:val="en-US" w:eastAsia="en-US"/>
        </w:rPr>
      </w:pPr>
      <w:bookmarkStart w:id="0" w:name="_GoBack"/>
      <w:r>
        <w:rPr>
          <w:rFonts w:hint="eastAsia" w:ascii="黑体" w:hAnsi="黑体" w:eastAsia="黑体" w:cs="黑体"/>
          <w:b w:val="0"/>
          <w:bCs w:val="0"/>
          <w:sz w:val="32"/>
          <w:szCs w:val="32"/>
          <w:lang w:val="en-US" w:eastAsia="en-US"/>
        </w:rPr>
        <w:t>城镇燃气经营许可服务指南</w:t>
      </w:r>
    </w:p>
    <w:bookmarkEnd w:id="0"/>
    <w:p>
      <w:pPr>
        <w:keepNext w:val="0"/>
        <w:keepLines w:val="0"/>
        <w:pageBreakBefore w:val="0"/>
        <w:widowControl/>
        <w:numPr>
          <w:ilvl w:val="0"/>
          <w:numId w:val="1"/>
        </w:numPr>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黑体" w:hAnsi="黑体" w:eastAsia="黑体" w:cs="黑体"/>
          <w:sz w:val="21"/>
          <w:szCs w:val="21"/>
          <w:lang w:val="en-US" w:eastAsia="en-US"/>
        </w:rPr>
        <w:t>事项</w:t>
      </w:r>
      <w:r>
        <w:rPr>
          <w:rFonts w:hint="eastAsia" w:ascii="黑体" w:hAnsi="黑体" w:eastAsia="黑体" w:cs="黑体"/>
          <w:sz w:val="21"/>
          <w:szCs w:val="21"/>
          <w:lang w:val="en-US" w:eastAsia="zh-CN"/>
        </w:rPr>
        <w:t>名称：</w:t>
      </w:r>
      <w:r>
        <w:rPr>
          <w:rFonts w:hint="eastAsia" w:ascii="宋体" w:hAnsi="宋体" w:eastAsia="宋体" w:cs="宋体"/>
          <w:sz w:val="21"/>
          <w:szCs w:val="21"/>
          <w:lang w:val="en-US" w:eastAsia="zh-CN"/>
        </w:rPr>
        <w:t>城镇燃气经营许可</w:t>
      </w:r>
    </w:p>
    <w:p>
      <w:pPr>
        <w:keepNext w:val="0"/>
        <w:keepLines w:val="0"/>
        <w:pageBreakBefore w:val="0"/>
        <w:widowControl/>
        <w:numPr>
          <w:ilvl w:val="0"/>
          <w:numId w:val="0"/>
        </w:numPr>
        <w:kinsoku/>
        <w:wordWrap/>
        <w:overflowPunct/>
        <w:topLinePunct w:val="0"/>
        <w:autoSpaceDE/>
        <w:autoSpaceDN/>
        <w:bidi w:val="0"/>
        <w:adjustRightInd/>
        <w:snapToGrid/>
        <w:textAlignment w:val="auto"/>
        <w:rPr>
          <w:rFonts w:hint="eastAsia" w:ascii="黑体" w:hAnsi="黑体" w:eastAsia="黑体" w:cs="黑体"/>
          <w:sz w:val="21"/>
          <w:szCs w:val="21"/>
          <w:lang w:val="en-US" w:eastAsia="en-US"/>
        </w:rPr>
      </w:pPr>
      <w:r>
        <w:rPr>
          <w:rFonts w:hint="eastAsia" w:ascii="黑体" w:hAnsi="黑体" w:eastAsia="黑体" w:cs="黑体"/>
          <w:sz w:val="21"/>
          <w:szCs w:val="21"/>
          <w:lang w:val="en-US" w:eastAsia="zh-CN"/>
        </w:rPr>
        <w:t>二</w:t>
      </w:r>
      <w:r>
        <w:rPr>
          <w:rFonts w:hint="eastAsia" w:ascii="黑体" w:hAnsi="黑体" w:eastAsia="黑体" w:cs="黑体"/>
          <w:sz w:val="21"/>
          <w:szCs w:val="21"/>
          <w:lang w:val="en-US" w:eastAsia="en-US"/>
        </w:rPr>
        <w:t>、事项类型</w:t>
      </w:r>
      <w:r>
        <w:rPr>
          <w:rFonts w:hint="eastAsia" w:ascii="黑体" w:hAnsi="黑体" w:eastAsia="黑体" w:cs="黑体"/>
          <w:sz w:val="21"/>
          <w:szCs w:val="21"/>
          <w:lang w:val="en-US" w:eastAsia="zh-CN"/>
        </w:rPr>
        <w:t>：</w:t>
      </w:r>
      <w:r>
        <w:rPr>
          <w:rFonts w:hint="eastAsia" w:ascii="宋体" w:hAnsi="宋体" w:eastAsia="宋体" w:cs="宋体"/>
          <w:sz w:val="21"/>
          <w:szCs w:val="21"/>
          <w:lang w:val="en-US" w:eastAsia="en-US"/>
        </w:rPr>
        <w:t>行政许可</w:t>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三</w:t>
      </w:r>
      <w:r>
        <w:rPr>
          <w:rFonts w:hint="eastAsia" w:ascii="黑体" w:hAnsi="黑体" w:eastAsia="黑体" w:cs="黑体"/>
          <w:sz w:val="21"/>
          <w:szCs w:val="21"/>
          <w:lang w:val="en-US" w:eastAsia="en-US"/>
        </w:rPr>
        <w:t>、设立依据</w:t>
      </w:r>
      <w:r>
        <w:rPr>
          <w:rFonts w:hint="eastAsia" w:ascii="黑体" w:hAnsi="黑体" w:eastAsia="黑体" w:cs="黑体"/>
          <w:sz w:val="21"/>
          <w:szCs w:val="21"/>
          <w:lang w:val="en-US" w:eastAsia="zh-CN"/>
        </w:rPr>
        <w:t>：</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城镇燃气管理条例》（2010年11月19日国务院令第583号）第十五条：国家对燃气经营实行许可证制度。从事燃气经营活动的企业，应当具备下列条件：……符合前款规定条件的，由县级以上地方人民政府燃气管理部门核发燃气经营许可证。</w:t>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四</w:t>
      </w:r>
      <w:r>
        <w:rPr>
          <w:rFonts w:hint="eastAsia" w:ascii="黑体" w:hAnsi="黑体" w:eastAsia="黑体" w:cs="黑体"/>
          <w:sz w:val="21"/>
          <w:szCs w:val="21"/>
          <w:lang w:val="en-US" w:eastAsia="en-US"/>
        </w:rPr>
        <w:t>、办理条件</w:t>
      </w:r>
      <w:r>
        <w:rPr>
          <w:rFonts w:hint="eastAsia" w:ascii="黑体" w:hAnsi="黑体" w:eastAsia="黑体" w:cs="黑体"/>
          <w:sz w:val="21"/>
          <w:szCs w:val="21"/>
          <w:lang w:val="en-US" w:eastAsia="zh-CN"/>
        </w:rPr>
        <w:t>：</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（一）符合燃气发展规划要求。</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燃气经营区域、燃气种类、供应方式和规模、燃气设施布局和建设时序等符合依法批准并备案的燃气发展规划。</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（二）有稳定的并符合国家标准的燃气气源。</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1.应与气源生产或供应企业签订供用气合同或供用气意向书。</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2.燃气质量符合国家城镇燃气气质有关标准。</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（三）有固定的、符合消防等安全条件的经营场所和办公场所。</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（四）燃气输配、储存、充装、供应等设施符合国家相关标准和消防安全要求。</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（五）燃气设施建设工程竣工后，建设单位应当依法组织竣工验收，并自竣工验收合格之日起15日内，将竣工验收情况报燃气管理部门备案。</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（六）企业的主要负责人、安全生产管理人员以及运行、维护和抢修人员经专业培训并经省燃气管理部门考核合格。经专业培训并考核合格的人员及数量，应与企业经营规模相适应，最低人数应符合以下要求：</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1.企业主要负责人。是指企业法人代表（董事长）、企业总经理（总裁），每个岗位 1 人；</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2.安全生产管理人员。是指企业负责安全运行的副总经理（副总裁），企业生产、安全管理部门负责人，企业生产和销售分支机构的负责人以及企业专（兼）职安全员，每个岗位不少于 1 人；</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运行、维护和抢修人员。是指负责燃气设施设备运行、维护和事故抢险抢修的操作人员，包括但不仅限于燃气输配场站工、液化石油气库站工、压缩天然气场站工、液化天然气储运工、汽车加气站操作工、燃气管网工、燃气用户检修工。最低人数应满足：</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管道燃气经营企业，燃气用户10 万户以下的，每 2500 户不少于 1 人；10 万户以上的，每增加 2500 户增加 1 人；</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瓶装燃气经营企业，燃气用户1000 户及以下的不少于 3 人；1000 户以上不到 1 万户的，每 800 户 1 人；1-5 万户，每增加 1 万户增加 10 人；5-10 万户，每增加 1 万户增加 8 人；10 万户以上每增加 1 万户增加 5 人；</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燃气汽车加气站经营企业不少于6人，并随经营规模适当增加人数；</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有与经营规模相适应的专业技术人员：管道燃气经营企业的经营负责人具有从事燃气企业管理工作经历，技术负责人具有从事燃气技术管理工作经历并具有燃气及相关专业中级以上职称;日供气能力低于10万立方米的管道燃气经营企业燃气专业技术人员不少于5人，日供气能力10万立方米以上的管道燃气企业燃气专业技术人员不少于10人。瓶装燃气经营企业的燃气专业技术人员不少于1人；CNG加气母站及一级燃气汽车加气站经营企业的燃气专业技术人员不少于2名，其它类型汽车加气站的燃气专业技术人员不少于1人。</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（七）燃气企业需有完善的管理体系和安全管理制度，有健全的安全事故抢险预案，有与供气规模相适应的抢险组织及抢险抢修人员、仪器、设备和交通工具。</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（八）燃气企业与从业人员签订劳动合同，依法参加社会保险。</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（九）法律、法规规定的其他条件。</w:t>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五</w:t>
      </w:r>
      <w:r>
        <w:rPr>
          <w:rFonts w:hint="eastAsia" w:ascii="黑体" w:hAnsi="黑体" w:eastAsia="黑体" w:cs="黑体"/>
          <w:sz w:val="21"/>
          <w:szCs w:val="21"/>
          <w:lang w:val="en-US" w:eastAsia="en-US"/>
        </w:rPr>
        <w:t>、申办材料</w:t>
      </w:r>
      <w:r>
        <w:rPr>
          <w:rFonts w:hint="eastAsia" w:ascii="黑体" w:hAnsi="黑体" w:eastAsia="黑体" w:cs="黑体"/>
          <w:sz w:val="21"/>
          <w:szCs w:val="21"/>
          <w:lang w:val="en-US" w:eastAsia="zh-CN"/>
        </w:rPr>
        <w:t>：</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申办材料应符合以下要求：</w:t>
      </w:r>
    </w:p>
    <w:tbl>
      <w:tblPr>
        <w:tblStyle w:val="3"/>
        <w:tblpPr w:leftFromText="180" w:rightFromText="180" w:vertAnchor="text" w:horzAnchor="page" w:tblpX="1702" w:tblpY="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3"/>
        <w:gridCol w:w="2391"/>
        <w:gridCol w:w="1216"/>
        <w:gridCol w:w="595"/>
        <w:gridCol w:w="1228"/>
        <w:gridCol w:w="2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序号</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提交材料名称</w:t>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原件/复印件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份数</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纸质/电子版</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特定要求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zh-CN"/>
              </w:rPr>
            </w:pPr>
            <w:r>
              <w:rPr>
                <w:rFonts w:hint="eastAsia" w:ascii="PingFang SC" w:hAnsi="PingFang SC" w:eastAsia="PingFang SC" w:cs="PingFang SC"/>
                <w:i w:val="0"/>
                <w:iCs w:val="0"/>
                <w:caps w:val="0"/>
                <w:color w:val="000000"/>
                <w:spacing w:val="0"/>
                <w:sz w:val="21"/>
                <w:szCs w:val="21"/>
              </w:rPr>
              <w:t>河南省燃气经营许可证申请表</w:t>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原件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材料齐全，真实有效。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2</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PingFang SC" w:hAnsi="PingFang SC" w:eastAsia="PingFang SC" w:cs="PingFang SC"/>
                <w:i w:val="0"/>
                <w:iCs w:val="0"/>
                <w:caps w:val="0"/>
                <w:color w:val="000000"/>
                <w:spacing w:val="0"/>
                <w:sz w:val="21"/>
                <w:szCs w:val="21"/>
              </w:rPr>
            </w:pPr>
            <w:r>
              <w:rPr>
                <w:rFonts w:hint="eastAsia" w:ascii="PingFang SC" w:hAnsi="PingFang SC" w:eastAsia="PingFang SC" w:cs="PingFang SC"/>
                <w:i w:val="0"/>
                <w:iCs w:val="0"/>
                <w:caps w:val="0"/>
                <w:color w:val="000000"/>
                <w:spacing w:val="0"/>
                <w:sz w:val="21"/>
                <w:szCs w:val="21"/>
              </w:rPr>
              <w:t>企业与从业人员签订的劳动合同、缴纳的社会保险材料</w:t>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zh-CN"/>
              </w:rPr>
              <w:t>复印</w:t>
            </w:r>
            <w:r>
              <w:rPr>
                <w:rFonts w:hint="eastAsia" w:ascii="宋体" w:hAnsi="宋体" w:eastAsia="宋体" w:cs="宋体"/>
                <w:sz w:val="18"/>
                <w:szCs w:val="18"/>
                <w:lang w:val="en-US" w:eastAsia="en-US"/>
              </w:rPr>
              <w:t>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材料齐全，真实有效。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3</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PingFang SC" w:hAnsi="PingFang SC" w:eastAsia="PingFang SC" w:cs="PingFang SC"/>
                <w:i w:val="0"/>
                <w:iCs w:val="0"/>
                <w:caps w:val="0"/>
                <w:color w:val="000000"/>
                <w:spacing w:val="0"/>
                <w:sz w:val="21"/>
                <w:szCs w:val="21"/>
              </w:rPr>
            </w:pPr>
            <w:r>
              <w:rPr>
                <w:rFonts w:hint="eastAsia" w:ascii="PingFang SC" w:hAnsi="PingFang SC" w:eastAsia="PingFang SC" w:cs="PingFang SC"/>
                <w:i w:val="0"/>
                <w:iCs w:val="0"/>
                <w:caps w:val="0"/>
                <w:color w:val="000000"/>
                <w:spacing w:val="0"/>
                <w:sz w:val="21"/>
                <w:szCs w:val="21"/>
              </w:rPr>
              <w:t>消防验收法律文件和特种设备使用许可资料</w:t>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原件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材料齐全，真实有效。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4</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PingFang SC" w:hAnsi="PingFang SC" w:eastAsia="PingFang SC" w:cs="PingFang SC"/>
                <w:i w:val="0"/>
                <w:iCs w:val="0"/>
                <w:caps w:val="0"/>
                <w:color w:val="000000"/>
                <w:spacing w:val="0"/>
                <w:sz w:val="21"/>
                <w:szCs w:val="21"/>
              </w:rPr>
            </w:pPr>
            <w:r>
              <w:rPr>
                <w:rFonts w:hint="eastAsia" w:ascii="PingFang SC" w:hAnsi="PingFang SC" w:eastAsia="PingFang SC" w:cs="PingFang SC"/>
                <w:i w:val="0"/>
                <w:iCs w:val="0"/>
                <w:caps w:val="0"/>
                <w:color w:val="000000"/>
                <w:spacing w:val="0"/>
                <w:sz w:val="21"/>
                <w:szCs w:val="21"/>
              </w:rPr>
              <w:t>燃气从业人员专业培训考核合格证书</w:t>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zh-CN"/>
              </w:rPr>
              <w:t>复印</w:t>
            </w:r>
            <w:r>
              <w:rPr>
                <w:rFonts w:hint="eastAsia" w:ascii="宋体" w:hAnsi="宋体" w:eastAsia="宋体" w:cs="宋体"/>
                <w:sz w:val="18"/>
                <w:szCs w:val="18"/>
                <w:lang w:val="en-US" w:eastAsia="en-US"/>
              </w:rPr>
              <w:t>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材料齐全，真实有效。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PingFang SC" w:hAnsi="PingFang SC" w:eastAsia="PingFang SC" w:cs="PingFang SC"/>
                <w:i w:val="0"/>
                <w:iCs w:val="0"/>
                <w:caps w:val="0"/>
                <w:color w:val="000000"/>
                <w:spacing w:val="0"/>
                <w:sz w:val="21"/>
                <w:szCs w:val="21"/>
              </w:rPr>
            </w:pPr>
            <w:r>
              <w:rPr>
                <w:rFonts w:hint="eastAsia" w:ascii="PingFang SC" w:hAnsi="PingFang SC" w:eastAsia="PingFang SC" w:cs="PingFang SC"/>
                <w:i w:val="0"/>
                <w:iCs w:val="0"/>
                <w:caps w:val="0"/>
                <w:color w:val="000000"/>
                <w:spacing w:val="0"/>
                <w:sz w:val="21"/>
                <w:szCs w:val="21"/>
              </w:rPr>
              <w:t>城镇管道燃气经营企业还应当提供特许经营协议</w:t>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zh-CN"/>
              </w:rPr>
              <w:t>复印</w:t>
            </w:r>
            <w:r>
              <w:rPr>
                <w:rFonts w:hint="eastAsia" w:ascii="宋体" w:hAnsi="宋体" w:eastAsia="宋体" w:cs="宋体"/>
                <w:sz w:val="18"/>
                <w:szCs w:val="18"/>
                <w:lang w:val="en-US" w:eastAsia="en-US"/>
              </w:rPr>
              <w:t>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材料齐全，真实有效。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6</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PingFang SC" w:hAnsi="PingFang SC" w:eastAsia="PingFang SC" w:cs="PingFang SC"/>
                <w:i w:val="0"/>
                <w:iCs w:val="0"/>
                <w:caps w:val="0"/>
                <w:color w:val="000000"/>
                <w:spacing w:val="0"/>
                <w:sz w:val="21"/>
                <w:szCs w:val="21"/>
              </w:rPr>
            </w:pPr>
            <w:r>
              <w:rPr>
                <w:rFonts w:hint="eastAsia" w:ascii="PingFang SC" w:hAnsi="PingFang SC" w:eastAsia="PingFang SC" w:cs="PingFang SC"/>
                <w:i w:val="0"/>
                <w:iCs w:val="0"/>
                <w:caps w:val="0"/>
                <w:color w:val="000000"/>
                <w:spacing w:val="0"/>
                <w:sz w:val="21"/>
                <w:szCs w:val="21"/>
              </w:rPr>
              <w:t>申请单位完善的管理体系和安全管理制度、安全事故抢险预案、抢险车...</w:t>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原件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材料齐全，真实有效。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7</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PingFang SC" w:hAnsi="PingFang SC" w:eastAsia="PingFang SC" w:cs="PingFang SC"/>
                <w:i w:val="0"/>
                <w:iCs w:val="0"/>
                <w:caps w:val="0"/>
                <w:color w:val="000000"/>
                <w:spacing w:val="0"/>
                <w:sz w:val="21"/>
                <w:szCs w:val="21"/>
              </w:rPr>
            </w:pPr>
            <w:r>
              <w:rPr>
                <w:rFonts w:hint="eastAsia" w:ascii="PingFang SC" w:hAnsi="PingFang SC" w:eastAsia="PingFang SC" w:cs="PingFang SC"/>
                <w:i w:val="0"/>
                <w:iCs w:val="0"/>
                <w:caps w:val="0"/>
                <w:color w:val="000000"/>
                <w:spacing w:val="0"/>
                <w:sz w:val="21"/>
                <w:szCs w:val="21"/>
              </w:rPr>
              <w:t>营业执照</w:t>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复印件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材料齐全，真实有效。</w:t>
            </w:r>
          </w:p>
        </w:tc>
      </w:tr>
    </w:tbl>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六</w:t>
      </w:r>
      <w:r>
        <w:rPr>
          <w:rFonts w:hint="eastAsia" w:ascii="黑体" w:hAnsi="黑体" w:eastAsia="黑体" w:cs="黑体"/>
          <w:sz w:val="21"/>
          <w:szCs w:val="21"/>
          <w:lang w:val="en-US" w:eastAsia="en-US"/>
        </w:rPr>
        <w:t>、办理时限</w:t>
      </w:r>
      <w:r>
        <w:rPr>
          <w:rFonts w:hint="eastAsia" w:ascii="黑体" w:hAnsi="黑体" w:eastAsia="黑体" w:cs="黑体"/>
          <w:sz w:val="21"/>
          <w:szCs w:val="21"/>
          <w:lang w:val="en-US" w:eastAsia="zh-CN"/>
        </w:rPr>
        <w:t>：</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法定时限</w:t>
      </w:r>
      <w:r>
        <w:rPr>
          <w:rFonts w:hint="eastAsia" w:ascii="宋体" w:hAnsi="宋体" w:eastAsia="宋体" w:cs="宋体"/>
          <w:sz w:val="21"/>
          <w:szCs w:val="21"/>
          <w:lang w:val="en-US" w:eastAsia="zh-CN"/>
        </w:rPr>
        <w:t>：</w:t>
      </w:r>
      <w:r>
        <w:rPr>
          <w:rFonts w:hint="eastAsia" w:ascii="宋体" w:hAnsi="宋体" w:eastAsia="宋体" w:cs="宋体"/>
          <w:sz w:val="21"/>
          <w:szCs w:val="21"/>
          <w:lang w:val="en-US" w:eastAsia="en-US"/>
        </w:rPr>
        <w:t>20</w:t>
      </w:r>
      <w:r>
        <w:rPr>
          <w:rFonts w:hint="eastAsia" w:ascii="宋体" w:hAnsi="宋体" w:eastAsia="宋体" w:cs="宋体"/>
          <w:sz w:val="21"/>
          <w:szCs w:val="21"/>
          <w:lang w:val="en-US" w:eastAsia="zh-CN"/>
        </w:rPr>
        <w:t>个工</w:t>
      </w:r>
      <w:r>
        <w:rPr>
          <w:rFonts w:hint="eastAsia" w:ascii="宋体" w:hAnsi="宋体" w:eastAsia="宋体" w:cs="宋体"/>
          <w:sz w:val="21"/>
          <w:szCs w:val="21"/>
          <w:lang w:val="en-US" w:eastAsia="en-US"/>
        </w:rPr>
        <w:t>作日。</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承诺时限</w:t>
      </w:r>
      <w:r>
        <w:rPr>
          <w:rFonts w:hint="eastAsia" w:ascii="宋体" w:hAnsi="宋体" w:eastAsia="宋体" w:cs="宋体"/>
          <w:sz w:val="21"/>
          <w:szCs w:val="21"/>
          <w:lang w:val="en-US" w:eastAsia="zh-CN"/>
        </w:rPr>
        <w:t>：1</w:t>
      </w:r>
      <w:r>
        <w:rPr>
          <w:rFonts w:hint="eastAsia" w:ascii="宋体" w:hAnsi="宋体" w:eastAsia="宋体" w:cs="宋体"/>
          <w:sz w:val="21"/>
          <w:szCs w:val="21"/>
          <w:lang w:val="en-US" w:eastAsia="en-US"/>
        </w:rPr>
        <w:t>个工作日。</w:t>
      </w:r>
    </w:p>
    <w:p>
      <w:pPr>
        <w:keepNext w:val="0"/>
        <w:keepLines w:val="0"/>
        <w:pageBreakBefore w:val="0"/>
        <w:widowControl/>
        <w:numPr>
          <w:ilvl w:val="0"/>
          <w:numId w:val="0"/>
        </w:numPr>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七</w:t>
      </w:r>
      <w:r>
        <w:rPr>
          <w:rFonts w:hint="eastAsia" w:ascii="黑体" w:hAnsi="黑体" w:eastAsia="黑体" w:cs="黑体"/>
          <w:sz w:val="21"/>
          <w:szCs w:val="21"/>
          <w:lang w:val="en-US" w:eastAsia="en-US"/>
        </w:rPr>
        <w:t>、</w:t>
      </w:r>
      <w:r>
        <w:rPr>
          <w:rFonts w:hint="eastAsia" w:ascii="黑体" w:hAnsi="黑体" w:eastAsia="黑体" w:cs="黑体"/>
          <w:sz w:val="21"/>
          <w:szCs w:val="21"/>
          <w:lang w:val="en-US" w:eastAsia="zh-CN"/>
        </w:rPr>
        <w:t>受理方式：</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窗口受理：南乐县大数据二楼29号窗口 </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网上申报：河南政务服务网（</w:t>
      </w:r>
      <w:r>
        <w:rPr>
          <w:rFonts w:hint="eastAsia" w:ascii="宋体" w:hAnsi="宋体" w:eastAsia="宋体" w:cs="宋体"/>
          <w:sz w:val="21"/>
          <w:szCs w:val="21"/>
          <w:lang w:val="en-US" w:eastAsia="en-US"/>
        </w:rPr>
        <w:fldChar w:fldCharType="begin"/>
      </w:r>
      <w:r>
        <w:rPr>
          <w:rFonts w:hint="eastAsia" w:ascii="宋体" w:hAnsi="宋体" w:eastAsia="宋体" w:cs="宋体"/>
          <w:sz w:val="21"/>
          <w:szCs w:val="21"/>
          <w:lang w:val="en-US" w:eastAsia="en-US"/>
        </w:rPr>
        <w:instrText xml:space="preserve"> HYPERLINK "http://www.hnzwfw.gov.cn/" </w:instrText>
      </w:r>
      <w:r>
        <w:rPr>
          <w:rFonts w:hint="eastAsia" w:ascii="宋体" w:hAnsi="宋体" w:eastAsia="宋体" w:cs="宋体"/>
          <w:sz w:val="21"/>
          <w:szCs w:val="21"/>
          <w:lang w:val="en-US" w:eastAsia="en-US"/>
        </w:rPr>
        <w:fldChar w:fldCharType="separate"/>
      </w:r>
      <w:r>
        <w:rPr>
          <w:rFonts w:hint="eastAsia" w:ascii="宋体" w:hAnsi="宋体" w:eastAsia="宋体" w:cs="宋体"/>
          <w:sz w:val="21"/>
          <w:szCs w:val="21"/>
          <w:lang w:val="en-US" w:eastAsia="en-US"/>
        </w:rPr>
        <w:t>http://www.hnzwfw.gov.cn</w:t>
      </w:r>
      <w:r>
        <w:rPr>
          <w:rFonts w:hint="eastAsia" w:ascii="宋体" w:hAnsi="宋体" w:eastAsia="宋体" w:cs="宋体"/>
          <w:sz w:val="21"/>
          <w:szCs w:val="21"/>
          <w:lang w:val="en-US" w:eastAsia="en-US"/>
        </w:rPr>
        <w:fldChar w:fldCharType="end"/>
      </w:r>
      <w:r>
        <w:rPr>
          <w:rFonts w:hint="eastAsia" w:ascii="宋体" w:hAnsi="宋体" w:eastAsia="宋体" w:cs="宋体"/>
          <w:sz w:val="21"/>
          <w:szCs w:val="21"/>
          <w:lang w:val="en-US" w:eastAsia="zh-CN"/>
        </w:rPr>
        <w:t>）按照提示进行网上申报</w:t>
      </w:r>
    </w:p>
    <w:p>
      <w:pPr>
        <w:keepNext w:val="0"/>
        <w:keepLines w:val="0"/>
        <w:pageBreakBefore w:val="0"/>
        <w:widowControl/>
        <w:numPr>
          <w:ilvl w:val="0"/>
          <w:numId w:val="0"/>
        </w:numPr>
        <w:kinsoku/>
        <w:wordWrap/>
        <w:overflowPunct/>
        <w:topLinePunct w:val="0"/>
        <w:autoSpaceDE/>
        <w:autoSpaceDN/>
        <w:bidi w:val="0"/>
        <w:adjustRightInd/>
        <w:snapToGrid/>
        <w:ind w:firstLine="3150" w:firstLineChars="15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手机APP：（二维码图片） </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pPr>
      <w:r>
        <w:rPr>
          <w:rFonts w:hint="eastAsia" w:eastAsia="宋体"/>
          <w:lang w:val="en-US" w:eastAsia="zh-CN"/>
        </w:rPr>
        <w:t xml:space="preserve">                       </w:t>
      </w:r>
      <w:r>
        <w:rPr>
          <w:rFonts w:hint="eastAsia" w:eastAsia="宋体"/>
          <w:lang w:val="en-US" w:eastAsia="zh-CN"/>
        </w:rPr>
        <w:drawing>
          <wp:inline distT="0" distB="0" distL="114300" distR="114300">
            <wp:extent cx="805815" cy="815340"/>
            <wp:effectExtent l="0" t="0" r="13335" b="3810"/>
            <wp:docPr id="17" name="图片 17" descr="e2399894150360d6e851c8f7b2f17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e2399894150360d6e851c8f7b2f17c9"/>
                    <pic:cNvPicPr>
                      <a:picLocks noChangeAspect="1"/>
                    </pic:cNvPicPr>
                  </pic:nvPicPr>
                  <pic:blipFill>
                    <a:blip r:embed="rId4"/>
                    <a:stretch>
                      <a:fillRect/>
                    </a:stretch>
                  </pic:blipFill>
                  <pic:spPr>
                    <a:xfrm>
                      <a:off x="0" y="0"/>
                      <a:ext cx="805815" cy="815340"/>
                    </a:xfrm>
                    <a:prstGeom prst="rect">
                      <a:avLst/>
                    </a:prstGeom>
                  </pic:spPr>
                </pic:pic>
              </a:graphicData>
            </a:graphic>
          </wp:inline>
        </w:drawing>
      </w:r>
      <w:r>
        <w:rPr>
          <w:rFonts w:hint="eastAsia" w:eastAsia="宋体"/>
          <w:lang w:val="en-US" w:eastAsia="zh-CN"/>
        </w:rPr>
        <w:t xml:space="preserve">     </w:t>
      </w:r>
      <w:r>
        <w:drawing>
          <wp:inline distT="0" distB="0" distL="114300" distR="114300">
            <wp:extent cx="803275" cy="813435"/>
            <wp:effectExtent l="0" t="0" r="15875" b="57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5"/>
                    <a:stretch>
                      <a:fillRect/>
                    </a:stretch>
                  </pic:blipFill>
                  <pic:spPr>
                    <a:xfrm>
                      <a:off x="0" y="0"/>
                      <a:ext cx="803275" cy="813435"/>
                    </a:xfrm>
                    <a:prstGeom prst="rect">
                      <a:avLst/>
                    </a:prstGeom>
                    <a:noFill/>
                    <a:ln>
                      <a:noFill/>
                    </a:ln>
                  </pic:spPr>
                </pic:pic>
              </a:graphicData>
            </a:graphic>
          </wp:inline>
        </w:drawing>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rPr>
          <w:rFonts w:hint="default"/>
          <w:lang w:val="en-US" w:eastAsia="zh-CN"/>
        </w:rPr>
      </w:pPr>
      <w:r>
        <w:rPr>
          <w:rFonts w:hint="eastAsia"/>
          <w:lang w:val="en-US" w:eastAsia="zh-CN"/>
        </w:rPr>
        <w:t xml:space="preserve">                       </w:t>
      </w:r>
      <w:r>
        <w:rPr>
          <w:rFonts w:hint="eastAsia" w:ascii="宋体" w:hAnsi="宋体" w:eastAsia="宋体" w:cs="宋体"/>
          <w:sz w:val="21"/>
          <w:szCs w:val="21"/>
          <w:lang w:val="en-US" w:eastAsia="zh-CN"/>
        </w:rPr>
        <w:t xml:space="preserve">微信公众号        豫事办APP </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黑体" w:hAnsi="黑体" w:eastAsia="黑体" w:cs="黑体"/>
          <w:sz w:val="21"/>
          <w:szCs w:val="21"/>
          <w:lang w:val="en-US" w:eastAsia="zh-CN"/>
        </w:rPr>
        <w:t>八</w:t>
      </w:r>
      <w:r>
        <w:rPr>
          <w:rFonts w:hint="eastAsia" w:ascii="黑体" w:hAnsi="黑体" w:eastAsia="黑体" w:cs="黑体"/>
          <w:sz w:val="21"/>
          <w:szCs w:val="21"/>
          <w:lang w:val="en-US" w:eastAsia="en-US"/>
        </w:rPr>
        <w:t>、</w:t>
      </w:r>
      <w:r>
        <w:rPr>
          <w:rFonts w:hint="eastAsia" w:ascii="黑体" w:hAnsi="黑体" w:eastAsia="黑体" w:cs="黑体"/>
          <w:b w:val="0"/>
          <w:bCs w:val="0"/>
          <w:sz w:val="21"/>
          <w:szCs w:val="21"/>
          <w:lang w:val="en-US" w:eastAsia="en-US"/>
        </w:rPr>
        <w:t>收费依</w:t>
      </w:r>
      <w:r>
        <w:rPr>
          <w:rFonts w:hint="eastAsia" w:ascii="黑体" w:hAnsi="黑体" w:eastAsia="黑体" w:cs="黑体"/>
          <w:sz w:val="21"/>
          <w:szCs w:val="21"/>
          <w:lang w:val="en-US" w:eastAsia="en-US"/>
        </w:rPr>
        <w:t>据及标准</w:t>
      </w:r>
      <w:r>
        <w:rPr>
          <w:rFonts w:hint="eastAsia" w:ascii="黑体" w:hAnsi="黑体" w:eastAsia="黑体" w:cs="黑体"/>
          <w:sz w:val="21"/>
          <w:szCs w:val="21"/>
          <w:lang w:val="en-US" w:eastAsia="zh-CN"/>
        </w:rPr>
        <w:t>：</w:t>
      </w:r>
      <w:r>
        <w:rPr>
          <w:rFonts w:hint="eastAsia" w:ascii="宋体" w:hAnsi="宋体" w:eastAsia="宋体" w:cs="宋体"/>
          <w:sz w:val="21"/>
          <w:szCs w:val="21"/>
          <w:lang w:val="en-US" w:eastAsia="zh-CN"/>
        </w:rPr>
        <w:t>不收费</w:t>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九</w:t>
      </w:r>
      <w:r>
        <w:rPr>
          <w:rFonts w:hint="eastAsia" w:ascii="黑体" w:hAnsi="黑体" w:eastAsia="黑体" w:cs="黑体"/>
          <w:sz w:val="21"/>
          <w:szCs w:val="21"/>
          <w:lang w:val="en-US" w:eastAsia="en-US"/>
        </w:rPr>
        <w:t>、咨询方式</w:t>
      </w:r>
      <w:r>
        <w:rPr>
          <w:rFonts w:hint="eastAsia" w:ascii="黑体" w:hAnsi="黑体" w:eastAsia="黑体" w:cs="黑体"/>
          <w:sz w:val="21"/>
          <w:szCs w:val="21"/>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en-US"/>
        </w:rPr>
        <w:t>现场咨询</w:t>
      </w:r>
      <w:r>
        <w:rPr>
          <w:rFonts w:hint="eastAsia" w:ascii="宋体" w:hAnsi="宋体" w:eastAsia="宋体" w:cs="宋体"/>
          <w:sz w:val="21"/>
          <w:szCs w:val="21"/>
          <w:lang w:val="en-US" w:eastAsia="zh-CN"/>
        </w:rPr>
        <w:t>：南乐县大数据二楼29号窗口</w:t>
      </w:r>
    </w:p>
    <w:p>
      <w:pPr>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en-US"/>
        </w:rPr>
        <w:t>电话咨询</w:t>
      </w:r>
      <w:r>
        <w:rPr>
          <w:rFonts w:hint="eastAsia" w:ascii="宋体" w:hAnsi="宋体" w:eastAsia="宋体" w:cs="宋体"/>
          <w:sz w:val="21"/>
          <w:szCs w:val="21"/>
          <w:lang w:val="en-US" w:eastAsia="zh-CN"/>
        </w:rPr>
        <w:t>：0393-6255081</w:t>
      </w:r>
    </w:p>
    <w:p>
      <w:pPr>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en-US"/>
        </w:rPr>
        <w:t>网上咨询</w:t>
      </w:r>
      <w:r>
        <w:rPr>
          <w:rFonts w:hint="eastAsia" w:ascii="宋体" w:hAnsi="宋体" w:eastAsia="宋体" w:cs="宋体"/>
          <w:sz w:val="21"/>
          <w:szCs w:val="21"/>
          <w:lang w:val="en-US" w:eastAsia="zh-CN"/>
        </w:rPr>
        <w:t>：</w:t>
      </w:r>
      <w:r>
        <w:rPr>
          <w:rFonts w:hint="eastAsia" w:ascii="宋体" w:hAnsi="宋体" w:eastAsia="宋体" w:cs="宋体"/>
          <w:sz w:val="21"/>
          <w:szCs w:val="21"/>
          <w:lang w:val="en-US" w:eastAsia="en-US"/>
        </w:rPr>
        <w:fldChar w:fldCharType="begin"/>
      </w:r>
      <w:r>
        <w:rPr>
          <w:rFonts w:hint="eastAsia" w:ascii="宋体" w:hAnsi="宋体" w:eastAsia="宋体" w:cs="宋体"/>
          <w:sz w:val="21"/>
          <w:szCs w:val="21"/>
          <w:lang w:val="en-US" w:eastAsia="en-US"/>
        </w:rPr>
        <w:instrText xml:space="preserve"> HYPERLINK "http://www.hnzwfw.gov.cn/" </w:instrText>
      </w:r>
      <w:r>
        <w:rPr>
          <w:rFonts w:hint="eastAsia" w:ascii="宋体" w:hAnsi="宋体" w:eastAsia="宋体" w:cs="宋体"/>
          <w:sz w:val="21"/>
          <w:szCs w:val="21"/>
          <w:lang w:val="en-US" w:eastAsia="en-US"/>
        </w:rPr>
        <w:fldChar w:fldCharType="separate"/>
      </w:r>
      <w:r>
        <w:rPr>
          <w:rFonts w:hint="eastAsia" w:ascii="宋体" w:hAnsi="宋体" w:eastAsia="宋体" w:cs="宋体"/>
          <w:sz w:val="21"/>
          <w:szCs w:val="21"/>
          <w:lang w:val="en-US" w:eastAsia="en-US"/>
        </w:rPr>
        <w:t>http://www.hnzwfw.gov.cn</w:t>
      </w:r>
      <w:r>
        <w:rPr>
          <w:rFonts w:hint="eastAsia" w:ascii="宋体" w:hAnsi="宋体" w:eastAsia="宋体" w:cs="宋体"/>
          <w:sz w:val="21"/>
          <w:szCs w:val="21"/>
          <w:lang w:val="en-US" w:eastAsia="en-US"/>
        </w:rPr>
        <w:fldChar w:fldCharType="end"/>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十</w:t>
      </w:r>
      <w:r>
        <w:rPr>
          <w:rFonts w:hint="eastAsia" w:ascii="黑体" w:hAnsi="黑体" w:eastAsia="黑体" w:cs="黑体"/>
          <w:sz w:val="21"/>
          <w:szCs w:val="21"/>
          <w:lang w:val="en-US" w:eastAsia="en-US"/>
        </w:rPr>
        <w:t>、</w:t>
      </w:r>
      <w:r>
        <w:rPr>
          <w:rFonts w:hint="eastAsia" w:ascii="黑体" w:hAnsi="黑体" w:eastAsia="黑体" w:cs="黑体"/>
          <w:sz w:val="21"/>
          <w:szCs w:val="21"/>
          <w:lang w:val="en-US" w:eastAsia="zh-CN"/>
        </w:rPr>
        <w:t>监督投诉渠道：</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现场监督投诉：南乐县政务服务到大厅效能督查股</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zh-CN"/>
        </w:rPr>
        <w:t>电话监督投诉：0393-8712345</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网上监督投诉：</w:t>
      </w:r>
      <w:r>
        <w:rPr>
          <w:rFonts w:hint="eastAsia" w:ascii="宋体" w:hAnsi="宋体" w:eastAsia="宋体" w:cs="宋体"/>
          <w:sz w:val="21"/>
          <w:szCs w:val="21"/>
          <w:lang w:val="en-US" w:eastAsia="en-US"/>
        </w:rPr>
        <w:fldChar w:fldCharType="begin"/>
      </w:r>
      <w:r>
        <w:rPr>
          <w:rFonts w:hint="eastAsia" w:ascii="宋体" w:hAnsi="宋体" w:eastAsia="宋体" w:cs="宋体"/>
          <w:sz w:val="21"/>
          <w:szCs w:val="21"/>
          <w:lang w:val="en-US" w:eastAsia="en-US"/>
        </w:rPr>
        <w:instrText xml:space="preserve"> HYPERLINK "http://www.hnzwfw.gov.cn/" </w:instrText>
      </w:r>
      <w:r>
        <w:rPr>
          <w:rFonts w:hint="eastAsia" w:ascii="宋体" w:hAnsi="宋体" w:eastAsia="宋体" w:cs="宋体"/>
          <w:sz w:val="21"/>
          <w:szCs w:val="21"/>
          <w:lang w:val="en-US" w:eastAsia="en-US"/>
        </w:rPr>
        <w:fldChar w:fldCharType="separate"/>
      </w:r>
      <w:r>
        <w:rPr>
          <w:rFonts w:hint="eastAsia" w:ascii="宋体" w:hAnsi="宋体" w:eastAsia="宋体" w:cs="宋体"/>
          <w:sz w:val="21"/>
          <w:szCs w:val="21"/>
          <w:lang w:val="en-US" w:eastAsia="en-US"/>
        </w:rPr>
        <w:t>http://www.hnzwfw.gov.cn</w:t>
      </w:r>
      <w:r>
        <w:rPr>
          <w:rFonts w:hint="eastAsia" w:ascii="宋体" w:hAnsi="宋体" w:eastAsia="宋体" w:cs="宋体"/>
          <w:sz w:val="21"/>
          <w:szCs w:val="21"/>
          <w:lang w:val="en-US" w:eastAsia="en-US"/>
        </w:rPr>
        <w:fldChar w:fldCharType="end"/>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十一</w:t>
      </w:r>
      <w:r>
        <w:rPr>
          <w:rFonts w:hint="eastAsia" w:ascii="黑体" w:hAnsi="黑体" w:eastAsia="黑体" w:cs="黑体"/>
          <w:sz w:val="21"/>
          <w:szCs w:val="21"/>
          <w:lang w:val="en-US" w:eastAsia="en-US"/>
        </w:rPr>
        <w:t>、</w:t>
      </w:r>
      <w:r>
        <w:rPr>
          <w:rFonts w:hint="eastAsia" w:ascii="黑体" w:hAnsi="黑体" w:eastAsia="黑体" w:cs="黑体"/>
          <w:sz w:val="21"/>
          <w:szCs w:val="21"/>
          <w:lang w:val="en-US" w:eastAsia="zh-CN"/>
        </w:rPr>
        <w:t xml:space="preserve">办理地址和时间： </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办理地址：南乐县一行路与木伦河路交叉口北侧路东 </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办理时间：周一至周五，法定节假日除外。</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zh-CN"/>
        </w:rPr>
        <w:t>夏季 上午8：00-12：00 下午 3：00-6：30 ；冬季 上午8：00-12：00 下午 2：30-6：00。</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4CDBDE"/>
    <w:multiLevelType w:val="singleLevel"/>
    <w:tmpl w:val="654CDB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B12FEF"/>
    <w:rsid w:val="6CB12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2021-06-21T03:22:00Z</dcterms:created>
  <dc:creator>猫有九条命却只有一颗心</dc:creator>
  <cp:lastModifiedBy>猫有九条命却只有一颗心</cp:lastModifiedBy>
  <dcterms:modified xsi:type="dcterms:W3CDTF">2021-06-21T03:27:12Z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8F86C3F5B0F6474F9F711884A422415F</vt:lpwstr>
  </property>
</Properties>
</file>